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48" w:rsidRDefault="0009253A">
      <w:pPr>
        <w:shd w:val="clear" w:color="auto" w:fill="FFFFFF"/>
        <w:spacing w:line="560" w:lineRule="exact"/>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附件</w:t>
      </w:r>
    </w:p>
    <w:p w:rsidR="00427F48" w:rsidRDefault="00427F48">
      <w:pPr>
        <w:shd w:val="clear" w:color="auto" w:fill="FFFFFF"/>
        <w:spacing w:line="560" w:lineRule="exact"/>
        <w:jc w:val="center"/>
        <w:rPr>
          <w:rFonts w:ascii="黑体" w:eastAsia="黑体" w:hAnsi="黑体" w:cs="黑体"/>
          <w:kern w:val="0"/>
          <w:sz w:val="32"/>
          <w:szCs w:val="32"/>
        </w:rPr>
      </w:pPr>
    </w:p>
    <w:p w:rsidR="00427F48" w:rsidRDefault="004A1FAC">
      <w:pPr>
        <w:shd w:val="clear" w:color="auto" w:fill="FFFFFF"/>
        <w:spacing w:line="560" w:lineRule="exact"/>
        <w:jc w:val="center"/>
        <w:rPr>
          <w:rFonts w:ascii="方正小标宋_GBK" w:eastAsia="方正小标宋_GBK" w:hAnsi="方正小标宋_GBK" w:cs="方正小标宋_GBK"/>
          <w:kern w:val="0"/>
          <w:sz w:val="44"/>
          <w:szCs w:val="44"/>
        </w:rPr>
      </w:pPr>
      <w:hyperlink r:id="rId7" w:tgtFrame="_blank" w:history="1">
        <w:r w:rsidR="0009253A">
          <w:rPr>
            <w:rFonts w:ascii="方正小标宋_GBK" w:eastAsia="方正小标宋_GBK" w:hAnsi="方正小标宋_GBK" w:cs="方正小标宋_GBK" w:hint="eastAsia"/>
            <w:kern w:val="0"/>
            <w:sz w:val="44"/>
            <w:szCs w:val="44"/>
          </w:rPr>
          <w:t>境内</w:t>
        </w:r>
      </w:hyperlink>
      <w:r w:rsidR="0009253A">
        <w:rPr>
          <w:rFonts w:ascii="方正小标宋_GBK" w:eastAsia="方正小标宋_GBK" w:hAnsi="方正小标宋_GBK" w:cs="方正小标宋_GBK" w:hint="eastAsia"/>
          <w:kern w:val="0"/>
          <w:sz w:val="44"/>
          <w:szCs w:val="44"/>
        </w:rPr>
        <w:t>第三类和进口医疗器械</w:t>
      </w:r>
    </w:p>
    <w:p w:rsidR="00427F48" w:rsidRDefault="0009253A">
      <w:pPr>
        <w:shd w:val="clear" w:color="auto" w:fill="FFFFFF"/>
        <w:spacing w:line="56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注册审批操作规范</w:t>
      </w:r>
    </w:p>
    <w:p w:rsidR="00427F48" w:rsidRDefault="00427F48">
      <w:pPr>
        <w:shd w:val="clear" w:color="auto" w:fill="FFFFFF"/>
        <w:spacing w:line="560" w:lineRule="exact"/>
        <w:jc w:val="center"/>
        <w:rPr>
          <w:rFonts w:ascii="方正小标宋简体" w:eastAsia="方正小标宋简体" w:hAnsi="Arial" w:cs="Arial"/>
          <w:b/>
          <w:bCs/>
          <w:kern w:val="0"/>
          <w:sz w:val="44"/>
          <w:szCs w:val="44"/>
        </w:rPr>
      </w:pP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w:t>
      </w:r>
      <w:hyperlink r:id="rId8" w:tgtFrame="_blank" w:history="1">
        <w:r>
          <w:rPr>
            <w:rFonts w:eastAsia="仿宋_GB2312"/>
            <w:kern w:val="0"/>
            <w:sz w:val="32"/>
            <w:szCs w:val="32"/>
          </w:rPr>
          <w:t>进口</w:t>
        </w:r>
      </w:hyperlink>
      <w:r>
        <w:rPr>
          <w:rFonts w:eastAsia="仿宋_GB2312"/>
          <w:kern w:val="0"/>
          <w:sz w:val="32"/>
          <w:szCs w:val="32"/>
        </w:rPr>
        <w:t>第二类、第三类</w:t>
      </w:r>
      <w:hyperlink r:id="rId9" w:tgtFrame="_blank" w:history="1">
        <w:r>
          <w:rPr>
            <w:rFonts w:eastAsia="仿宋_GB2312"/>
            <w:kern w:val="0"/>
            <w:sz w:val="32"/>
            <w:szCs w:val="32"/>
          </w:rPr>
          <w:t>医疗器械</w:t>
        </w:r>
      </w:hyperlink>
      <w:r>
        <w:rPr>
          <w:rFonts w:eastAsia="仿宋_GB2312"/>
          <w:kern w:val="0"/>
          <w:sz w:val="32"/>
          <w:szCs w:val="32"/>
        </w:rPr>
        <w:t>（包括体外诊断试剂）注册审批（指产品注册、变更注册和延续</w:t>
      </w:r>
      <w:hyperlink r:id="rId10" w:tgtFrame="_blank" w:history="1">
        <w:r>
          <w:rPr>
            <w:rFonts w:eastAsia="仿宋_GB2312"/>
            <w:kern w:val="0"/>
            <w:sz w:val="32"/>
            <w:szCs w:val="32"/>
          </w:rPr>
          <w:t>注册</w:t>
        </w:r>
      </w:hyperlink>
      <w:r>
        <w:rPr>
          <w:rFonts w:eastAsia="仿宋_GB2312"/>
          <w:kern w:val="0"/>
          <w:sz w:val="32"/>
          <w:szCs w:val="32"/>
        </w:rPr>
        <w:t>）包括</w:t>
      </w:r>
      <w:hyperlink r:id="rId11" w:tgtFrame="_blank" w:history="1">
        <w:r>
          <w:rPr>
            <w:rFonts w:eastAsia="仿宋_GB2312"/>
            <w:kern w:val="0"/>
            <w:sz w:val="32"/>
            <w:szCs w:val="32"/>
          </w:rPr>
          <w:t>受理</w:t>
        </w:r>
      </w:hyperlink>
      <w:r>
        <w:rPr>
          <w:rFonts w:eastAsia="仿宋_GB2312"/>
          <w:kern w:val="0"/>
          <w:sz w:val="32"/>
          <w:szCs w:val="32"/>
        </w:rPr>
        <w:t>、技术审评、</w:t>
      </w:r>
      <w:hyperlink r:id="rId12" w:tgtFrame="_blank" w:history="1">
        <w:r>
          <w:rPr>
            <w:rFonts w:eastAsia="仿宋_GB2312"/>
            <w:kern w:val="0"/>
            <w:sz w:val="32"/>
            <w:szCs w:val="32"/>
          </w:rPr>
          <w:t>行政审批</w:t>
        </w:r>
      </w:hyperlink>
      <w:r>
        <w:rPr>
          <w:rFonts w:eastAsia="仿宋_GB2312"/>
          <w:kern w:val="0"/>
          <w:sz w:val="32"/>
          <w:szCs w:val="32"/>
        </w:rPr>
        <w:t>和批件制作四个</w:t>
      </w:r>
      <w:hyperlink r:id="rId13" w:tgtFrame="_blank" w:history="1">
        <w:r>
          <w:rPr>
            <w:rFonts w:eastAsia="仿宋_GB2312"/>
            <w:kern w:val="0"/>
            <w:sz w:val="32"/>
            <w:szCs w:val="32"/>
          </w:rPr>
          <w:t>环节</w:t>
        </w:r>
      </w:hyperlink>
      <w:r>
        <w:rPr>
          <w:rFonts w:eastAsia="仿宋_GB2312"/>
          <w:kern w:val="0"/>
          <w:sz w:val="32"/>
          <w:szCs w:val="32"/>
        </w:rPr>
        <w:t>，临床试验审批</w:t>
      </w:r>
      <w:r>
        <w:rPr>
          <w:rFonts w:eastAsia="仿宋_GB2312" w:hint="eastAsia"/>
          <w:kern w:val="0"/>
          <w:sz w:val="32"/>
          <w:szCs w:val="32"/>
        </w:rPr>
        <w:t>包括受理、技术审评、行政审批三个环节，</w:t>
      </w:r>
      <w:r>
        <w:rPr>
          <w:rFonts w:eastAsia="仿宋_GB2312"/>
          <w:kern w:val="0"/>
          <w:sz w:val="32"/>
          <w:szCs w:val="32"/>
        </w:rPr>
        <w:t>变更备案包括受理和文件制作两个环节。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进口第二类、第三类医疗器械产品注册的受理和技术审评，境内第三类和进口第二类、第三类医疗器械变更注册、延续注册、临床试验审批项目的受理、技术审评和行政审批，境内第三类和进口第二类、第三类医疗器械变更备案</w:t>
      </w:r>
      <w:r>
        <w:rPr>
          <w:rFonts w:eastAsia="仿宋_GB2312" w:hint="eastAsia"/>
          <w:kern w:val="0"/>
          <w:sz w:val="32"/>
          <w:szCs w:val="32"/>
        </w:rPr>
        <w:t>资料</w:t>
      </w:r>
      <w:r>
        <w:rPr>
          <w:rFonts w:eastAsia="仿宋_GB2312"/>
          <w:kern w:val="0"/>
          <w:sz w:val="32"/>
          <w:szCs w:val="32"/>
        </w:rPr>
        <w:t>由国家药品监督管理局医疗器械技术审评中心负责</w:t>
      </w:r>
      <w:r>
        <w:rPr>
          <w:rFonts w:eastAsia="仿宋_GB2312" w:hint="eastAsia"/>
          <w:kern w:val="0"/>
          <w:sz w:val="32"/>
          <w:szCs w:val="32"/>
        </w:rPr>
        <w:t>接收</w:t>
      </w:r>
      <w:r>
        <w:rPr>
          <w:rFonts w:eastAsia="仿宋_GB2312"/>
          <w:kern w:val="0"/>
          <w:sz w:val="32"/>
          <w:szCs w:val="32"/>
        </w:rPr>
        <w:t>；</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境内第三类和进口第二类、三类医疗器械产品注册的行政审批由国家药品监督管理局负责；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批件（文件）制作由国家药品监督管理局行政事项受理服务和投诉举报中心负责。</w:t>
      </w:r>
    </w:p>
    <w:p w:rsidR="00427F48" w:rsidRDefault="0009253A">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一、境内第三类和进口医疗器械注册审批</w:t>
      </w:r>
    </w:p>
    <w:p w:rsidR="00427F48" w:rsidRDefault="0009253A">
      <w:pPr>
        <w:shd w:val="clear" w:color="auto" w:fill="FFFFFF"/>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（一）受理</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受理路径</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通过医疗器械注册电子申报信息化系统申报，无需提交纸质</w:t>
      </w:r>
      <w:r>
        <w:rPr>
          <w:rFonts w:eastAsia="仿宋_GB2312"/>
          <w:kern w:val="0"/>
          <w:sz w:val="32"/>
          <w:szCs w:val="32"/>
        </w:rPr>
        <w:lastRenderedPageBreak/>
        <w:t>资料，申请资料应当符合相应医疗器械注册申请电子提交技术指南要求。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提交纸质资料的应当与相应医疗器械注册申请电子提交技术指南规定的电子申报目录形式一致，同时需提交相应资料电子文档。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受理审核</w:t>
      </w:r>
    </w:p>
    <w:p w:rsidR="00427F48"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国家药品监督管理局医疗器械技术审评中心在受理环节，对产品注册、变更注册、临床试验审批申请事项按照立卷审查要求对相应申请的注册申请资料进行审核，对相应注册申请资料进入技术审评环节的完整性、合规性、一致性进行判断。对其余申请事项按照形式审核要求进行审核。</w:t>
      </w:r>
    </w:p>
    <w:p w:rsidR="00427F48"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）对申请人提交的注册申请资料进行签收，并根据受理审核操作规范分配受理及审评路径。</w:t>
      </w:r>
    </w:p>
    <w:p w:rsidR="00427F48" w:rsidRDefault="0009253A">
      <w:pPr>
        <w:shd w:val="clear" w:color="auto" w:fill="FFFFFF"/>
        <w:adjustRightInd w:val="0"/>
        <w:snapToGrid w:val="0"/>
        <w:spacing w:line="560" w:lineRule="exact"/>
        <w:ind w:firstLineChars="200" w:firstLine="640"/>
        <w:outlineLvl w:val="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）根据受理审核操作规范，对申请事项开展审核。对产品注册、变更注册、临床试验审批申请事项由审评人员根据相应立卷审查标准进行受理审核。对于其他申请事项由审评人员根据形式审核要求进行受理审核。</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申请事项属于本行政机关职权范围，申请资料齐全、符合受理要求，予以受理，出具《受理通知书》，需要申请人缴纳费用的，出具《缴费通知书》，《受理通知书》《缴费通知书》应当加盖本行政机关专用章并注明日期。</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）申请资料存在可以当场更正的错误的，应当允许申请人当场更正。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5</w:t>
      </w:r>
      <w:r>
        <w:rPr>
          <w:rFonts w:eastAsia="仿宋_GB2312"/>
          <w:kern w:val="0"/>
          <w:sz w:val="32"/>
          <w:szCs w:val="32"/>
        </w:rPr>
        <w:t>）申请资料不齐全或者不符合受理要求的，应当在</w:t>
      </w:r>
      <w:r>
        <w:rPr>
          <w:rFonts w:eastAsia="仿宋_GB2312"/>
          <w:kern w:val="0"/>
          <w:sz w:val="32"/>
          <w:szCs w:val="32"/>
        </w:rPr>
        <w:t>5</w:t>
      </w:r>
      <w:r>
        <w:rPr>
          <w:rFonts w:eastAsia="仿宋_GB2312"/>
          <w:kern w:val="0"/>
          <w:sz w:val="32"/>
          <w:szCs w:val="32"/>
        </w:rPr>
        <w:t>个工作日内一次告知申请人需要补正的全部内容，并出具《补正材料通知书》，逾期不告知的，自收到申请资料之日起即为受理。</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）对申请事项依法不属于本行政机关职权范围的，应当即时做出不予受理的决定，出具《不予受理通知书》，加盖本行政机关专用章并注明日期。</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）自受理申请之日起</w:t>
      </w:r>
      <w:r>
        <w:rPr>
          <w:rFonts w:eastAsia="仿宋_GB2312"/>
          <w:kern w:val="0"/>
          <w:sz w:val="32"/>
          <w:szCs w:val="32"/>
        </w:rPr>
        <w:t>3</w:t>
      </w:r>
      <w:r>
        <w:rPr>
          <w:rFonts w:eastAsia="仿宋_GB2312"/>
          <w:kern w:val="0"/>
          <w:sz w:val="32"/>
          <w:szCs w:val="32"/>
        </w:rPr>
        <w:t>个工作日内，由国家药品监督管理局医疗器械技术审评中心开展技术审评。</w:t>
      </w:r>
    </w:p>
    <w:p w:rsidR="00427F48" w:rsidRDefault="0009253A">
      <w:pPr>
        <w:shd w:val="clear" w:color="auto" w:fill="FFFFFF"/>
        <w:spacing w:line="560" w:lineRule="exact"/>
        <w:ind w:firstLineChars="200" w:firstLine="640"/>
        <w:rPr>
          <w:rFonts w:eastAsia="楷体_GB2312"/>
          <w:kern w:val="0"/>
          <w:sz w:val="32"/>
          <w:szCs w:val="32"/>
        </w:rPr>
      </w:pPr>
      <w:r>
        <w:rPr>
          <w:rFonts w:eastAsia="楷体_GB2312"/>
          <w:kern w:val="0"/>
          <w:sz w:val="32"/>
          <w:szCs w:val="32"/>
        </w:rPr>
        <w:t>（二）技术审评（</w:t>
      </w:r>
      <w:r>
        <w:rPr>
          <w:rFonts w:eastAsia="楷体_GB2312"/>
          <w:kern w:val="0"/>
          <w:sz w:val="32"/>
          <w:szCs w:val="32"/>
        </w:rPr>
        <w:t>60/90</w:t>
      </w:r>
      <w:r>
        <w:rPr>
          <w:rFonts w:eastAsia="楷体_GB2312"/>
          <w:kern w:val="0"/>
          <w:sz w:val="32"/>
          <w:szCs w:val="32"/>
        </w:rPr>
        <w:t>个工作日）</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国家药品监督管理局医疗器械技术审评中心对境内第三类和进口第二类、第三类医疗器械产品注册、变更注册、延续注册、临床试验审批项目进行技术审评，并提出技术审评意见。</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主审</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）责任人：根据技术审评部门操作规范确定的技术审评人员。</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主审要求和职责：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对临床试验审批按照《医疗器械监督管理条例》第二十七条进行综合分析，出具</w:t>
      </w:r>
      <w:r>
        <w:rPr>
          <w:rFonts w:eastAsia="仿宋_GB2312"/>
          <w:kern w:val="0"/>
          <w:sz w:val="32"/>
          <w:szCs w:val="32"/>
        </w:rPr>
        <w:lastRenderedPageBreak/>
        <w:t>审评意见。</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复核</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）责任人：国家药品监督管理局医疗器械技术审评中心各审评部室负责人或其委托的人员。</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）复核要求和职责：对审评意见进行审查，必要时复核注册申请资料，确定审评意见的完整性、规范性和准确性，并提出复核意见。确定审评过程符合有关审评程序的规定，做到审评尺度一致。</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签发</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）责任人：国家药品监督管理局医疗器械技术审评中心分管主任或经授权的人员。</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）签发要求和职责：对审评意见和复核意见进行审核，确认审评结论，签发审评报告。</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其他要求</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）技术审评过程中，必要时可调阅原始研究资料等所需资料。</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）需要补正资料的，国家药品监督管理局医疗器械技术审评中心应当一次告知申请人需要补正的全部内容。申请人应当在</w:t>
      </w:r>
      <w:r>
        <w:rPr>
          <w:rFonts w:eastAsia="仿宋_GB2312"/>
          <w:kern w:val="0"/>
          <w:sz w:val="32"/>
          <w:szCs w:val="32"/>
        </w:rPr>
        <w:t>1</w:t>
      </w:r>
      <w:r>
        <w:rPr>
          <w:rFonts w:eastAsia="仿宋_GB2312"/>
          <w:kern w:val="0"/>
          <w:sz w:val="32"/>
          <w:szCs w:val="32"/>
        </w:rPr>
        <w:t>年内按照补正通知的要求一次提供补充资料；国家药品监督管理局医疗器械技术审评中心应当自收到补充资料之日起</w:t>
      </w:r>
      <w:r>
        <w:rPr>
          <w:rFonts w:eastAsia="仿宋_GB2312"/>
          <w:kern w:val="0"/>
          <w:sz w:val="32"/>
          <w:szCs w:val="32"/>
        </w:rPr>
        <w:t>60</w:t>
      </w:r>
      <w:r>
        <w:rPr>
          <w:rFonts w:eastAsia="仿宋_GB2312"/>
          <w:kern w:val="0"/>
          <w:sz w:val="32"/>
          <w:szCs w:val="32"/>
        </w:rPr>
        <w:t>个工作日内（临床试验审批为</w:t>
      </w:r>
      <w:r>
        <w:rPr>
          <w:rFonts w:eastAsia="仿宋_GB2312"/>
          <w:kern w:val="0"/>
          <w:sz w:val="32"/>
          <w:szCs w:val="32"/>
        </w:rPr>
        <w:t>40</w:t>
      </w:r>
      <w:r>
        <w:rPr>
          <w:rFonts w:eastAsia="仿宋_GB2312"/>
          <w:kern w:val="0"/>
          <w:sz w:val="32"/>
          <w:szCs w:val="32"/>
        </w:rPr>
        <w:t>个工作日内）完成技术审评。</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spacing w:val="-11"/>
          <w:kern w:val="0"/>
          <w:sz w:val="32"/>
          <w:szCs w:val="32"/>
        </w:rPr>
        <w:t>3</w:t>
      </w:r>
      <w:r>
        <w:rPr>
          <w:rFonts w:eastAsia="仿宋_GB2312"/>
          <w:spacing w:val="-11"/>
          <w:kern w:val="0"/>
          <w:sz w:val="32"/>
          <w:szCs w:val="32"/>
        </w:rPr>
        <w:t>）应当依法进行质量管理体系核查的，依据有关规定启动。</w:t>
      </w:r>
    </w:p>
    <w:p w:rsidR="00427F48"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lastRenderedPageBreak/>
        <w:t>（三）行政审批（</w:t>
      </w:r>
      <w:r>
        <w:rPr>
          <w:rFonts w:eastAsia="楷体_GB2312"/>
          <w:kern w:val="0"/>
          <w:sz w:val="32"/>
          <w:szCs w:val="32"/>
        </w:rPr>
        <w:t>20</w:t>
      </w:r>
      <w:r>
        <w:rPr>
          <w:rFonts w:eastAsia="楷体_GB2312"/>
          <w:kern w:val="0"/>
          <w:sz w:val="32"/>
          <w:szCs w:val="32"/>
        </w:rPr>
        <w:t>个工作日）</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对境内第三类和进口第二类、三类医疗器械产品注册、变更注册、延续注册、临床试验审批的受理、技术审评的审查内容和审评过程进行行政复核，并根据技术审评结论作出批准注册或不予行政许可的决定。</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其中变更注册、延续注册、临床试验审批的行政审批由国家药品监督管理局医疗器械技术审评中心开展，按照其操作规范办理。审评报告签发后即完成行政审批。</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对于产品注册行政审批，要求如下</w:t>
      </w:r>
      <w:r>
        <w:rPr>
          <w:rFonts w:eastAsia="仿宋_GB2312"/>
          <w:kern w:val="0"/>
          <w:sz w:val="32"/>
          <w:szCs w:val="32"/>
        </w:rPr>
        <w:t>:</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审核</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国家药品监督管理局医疗器械注册管理司注册处室审核人员。</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）审核要求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确定本次申请属于本部门审批职责范围；审评程序是否符合相关法规和工作程序的规定；技术审评报告是否完整和规范</w:t>
      </w:r>
      <w:r>
        <w:rPr>
          <w:rFonts w:eastAsia="仿宋_GB2312"/>
          <w:kern w:val="0"/>
          <w:sz w:val="32"/>
          <w:szCs w:val="32"/>
        </w:rPr>
        <w:t xml:space="preserve">; </w:t>
      </w:r>
      <w:r>
        <w:rPr>
          <w:rFonts w:eastAsia="仿宋_GB2312"/>
          <w:kern w:val="0"/>
          <w:sz w:val="32"/>
          <w:szCs w:val="32"/>
        </w:rPr>
        <w:t>审评时限是否符合法定要求；技术审评结论是否明确。</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）职责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根据审核要求，提出审核意见，填写行政审查记录后将技术审评报告、行政审查记录报送核准人员。</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核准</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国家药品监督管理局医疗器械注册管理司处负责人或司负</w:t>
      </w:r>
      <w:r>
        <w:rPr>
          <w:rFonts w:eastAsia="仿宋_GB2312"/>
          <w:kern w:val="0"/>
          <w:sz w:val="32"/>
          <w:szCs w:val="32"/>
        </w:rPr>
        <w:lastRenderedPageBreak/>
        <w:t>责人。</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）核准要求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对审核人员出具的审核意见进行审查；确定本次申请注册的产品是否注册。</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）岗位职责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对符合核准要求的进口第二类医疗器械注册申请项目，由处负责人提出核准意见，填写行政审查记录后将技术审评报告和行政审查记录报送司负责人。</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对符合核准要求的境内和进口第三类医疗器械注册申请项目，由司负责人提出核准意见，填写行政审查记录后将审查记录报送主管局领导。</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对不符合核准要求的，提出核准意见，填写审查记录后将技术审评报告、审查记录退回审核人员。</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审定</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国家药品监督管理局医疗器械注册管理司负责人或国家药品监督管理局主管局领导。</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）审定要求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对核准人员出具的核准意见进行审查；最终批准本次申请注册的产品是否注册。</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）岗位职责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国家药品监督管理局医疗器械注册管理司负责人负责进口第二类医疗器械注册申请事项，符合审定要求的作出批准注册或</w:t>
      </w:r>
      <w:r>
        <w:rPr>
          <w:rFonts w:eastAsia="仿宋_GB2312"/>
          <w:kern w:val="0"/>
          <w:sz w:val="32"/>
          <w:szCs w:val="32"/>
        </w:rPr>
        <w:lastRenderedPageBreak/>
        <w:t>不予行政许可的决定，签发相关文件。</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国家药品监督管理局主管局领导负责境内和进口第三类医疗器械注册申请事项，符合审定要求的作出批准注册或不予行政许可的决定，签发相关文件。</w:t>
      </w:r>
    </w:p>
    <w:p w:rsidR="00427F48" w:rsidRDefault="0009253A">
      <w:pPr>
        <w:shd w:val="clear" w:color="auto" w:fill="FFFFFF"/>
        <w:spacing w:line="560" w:lineRule="exact"/>
        <w:ind w:firstLineChars="200" w:firstLine="640"/>
        <w:rPr>
          <w:rFonts w:eastAsia="楷体_GB2312"/>
          <w:kern w:val="0"/>
          <w:sz w:val="32"/>
          <w:szCs w:val="32"/>
        </w:rPr>
      </w:pPr>
      <w:r>
        <w:rPr>
          <w:rFonts w:eastAsia="楷体_GB2312"/>
          <w:kern w:val="0"/>
          <w:sz w:val="32"/>
          <w:szCs w:val="32"/>
        </w:rPr>
        <w:t>（四）批件（文件）制作（</w:t>
      </w:r>
      <w:r>
        <w:rPr>
          <w:rFonts w:eastAsia="楷体_GB2312"/>
          <w:kern w:val="0"/>
          <w:sz w:val="32"/>
          <w:szCs w:val="32"/>
        </w:rPr>
        <w:t>10</w:t>
      </w:r>
      <w:r>
        <w:rPr>
          <w:rFonts w:eastAsia="楷体_GB2312"/>
          <w:kern w:val="0"/>
          <w:sz w:val="32"/>
          <w:szCs w:val="32"/>
        </w:rPr>
        <w:t>个工作日）</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和投诉举报中心负责批件（文件）制作。制证人员应当按照行政审批结论制作批件（文件）。</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批件（文件）制作要求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）制作的《医疗器械注册证》《医疗器械变更注册（备案）文件》内容完整、准确无误，加盖的本行政机关专用章准确、无误。</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）其他许可文书等应当符合公文的相关要求。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对准予许可的，制作《医疗器械注册证》或《医疗器械变更注册（备案）文件》，加盖本行政机关专用章。</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对不予许可的，制作《不予行政许可决定书》，加盖本行政机关专用章。</w:t>
      </w:r>
      <w:r>
        <w:rPr>
          <w:rFonts w:eastAsia="仿宋_GB2312"/>
          <w:kern w:val="0"/>
          <w:sz w:val="32"/>
          <w:szCs w:val="32"/>
        </w:rPr>
        <w:t xml:space="preserve"> </w:t>
      </w:r>
    </w:p>
    <w:p w:rsidR="00427F48" w:rsidRDefault="0009253A">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二、变更备案</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国家药品监督管理局医疗器械技术审评中心负责接收变更</w:t>
      </w:r>
      <w:r>
        <w:rPr>
          <w:rFonts w:eastAsia="仿宋_GB2312"/>
          <w:kern w:val="0"/>
          <w:sz w:val="32"/>
          <w:szCs w:val="32"/>
        </w:rPr>
        <w:lastRenderedPageBreak/>
        <w:t>备案资料。</w:t>
      </w:r>
    </w:p>
    <w:p w:rsidR="00427F48"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（一）申请资料格式要求</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应当符合本规范第一项受理中所提申请资料格式要求。</w:t>
      </w:r>
    </w:p>
    <w:p w:rsidR="00427F48"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（二）岗位职责</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变更备案属于本部门职权范围，申请资料齐全、符合形式要求的，予以接收，将备案结论转国家药品监督管理局行政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变更备案资料不齐全或者不符合规定形式的，应当一次告知申请人需要补正的全部内容。对不予变更备案的，应当告知申请人并说明理由。</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变更备案不属于本部门职权范围的，不予接收，同时告知申请人并说明理由。</w:t>
      </w:r>
    </w:p>
    <w:p w:rsidR="00427F48" w:rsidRDefault="0009253A" w:rsidP="0067546A">
      <w:pPr>
        <w:shd w:val="clear" w:color="auto" w:fill="FFFFFF"/>
        <w:spacing w:line="590" w:lineRule="exact"/>
        <w:ind w:firstLineChars="200" w:firstLine="640"/>
        <w:rPr>
          <w:rFonts w:eastAsia="楷体_GB2312"/>
          <w:kern w:val="0"/>
          <w:sz w:val="32"/>
          <w:szCs w:val="32"/>
        </w:rPr>
      </w:pPr>
      <w:r>
        <w:rPr>
          <w:rFonts w:eastAsia="楷体_GB2312"/>
          <w:kern w:val="0"/>
          <w:sz w:val="32"/>
          <w:szCs w:val="32"/>
        </w:rPr>
        <w:t>（三）文件制作（</w:t>
      </w:r>
      <w:r>
        <w:rPr>
          <w:rFonts w:eastAsia="楷体_GB2312"/>
          <w:kern w:val="0"/>
          <w:sz w:val="32"/>
          <w:szCs w:val="32"/>
        </w:rPr>
        <w:t>10</w:t>
      </w:r>
      <w:r>
        <w:rPr>
          <w:rFonts w:eastAsia="楷体_GB2312"/>
          <w:kern w:val="0"/>
          <w:sz w:val="32"/>
          <w:szCs w:val="32"/>
        </w:rPr>
        <w:t>个工作日）</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国家药品监督管理局行政</w:t>
      </w:r>
      <w:r>
        <w:rPr>
          <w:rFonts w:eastAsia="仿宋_GB2312" w:hint="eastAsia"/>
          <w:kern w:val="0"/>
          <w:sz w:val="32"/>
          <w:szCs w:val="32"/>
        </w:rPr>
        <w:t>事项</w:t>
      </w:r>
      <w:r>
        <w:rPr>
          <w:rFonts w:eastAsia="仿宋_GB2312"/>
          <w:kern w:val="0"/>
          <w:sz w:val="32"/>
          <w:szCs w:val="32"/>
        </w:rPr>
        <w:t>受理</w:t>
      </w:r>
      <w:r>
        <w:rPr>
          <w:rFonts w:eastAsia="仿宋_GB2312" w:hint="eastAsia"/>
          <w:kern w:val="0"/>
          <w:sz w:val="32"/>
          <w:szCs w:val="32"/>
        </w:rPr>
        <w:t>服务</w:t>
      </w:r>
      <w:r>
        <w:rPr>
          <w:rFonts w:eastAsia="仿宋_GB2312"/>
          <w:kern w:val="0"/>
          <w:sz w:val="32"/>
          <w:szCs w:val="32"/>
        </w:rPr>
        <w:t>和投诉举报中心制证人员按照申请表中的变更内容制作《医疗器械变更注册（备案）文件》。</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文件制作要求</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427F48" w:rsidRDefault="0009253A" w:rsidP="0067546A">
      <w:pPr>
        <w:shd w:val="clear" w:color="auto" w:fill="FFFFFF"/>
        <w:spacing w:line="590" w:lineRule="exact"/>
        <w:ind w:firstLineChars="200" w:firstLine="640"/>
        <w:rPr>
          <w:rFonts w:eastAsia="仿宋_GB2312"/>
          <w:kern w:val="0"/>
          <w:sz w:val="32"/>
          <w:szCs w:val="32"/>
        </w:rPr>
      </w:pPr>
      <w:r>
        <w:rPr>
          <w:rFonts w:eastAsia="仿宋_GB2312"/>
          <w:kern w:val="0"/>
          <w:sz w:val="32"/>
          <w:szCs w:val="32"/>
        </w:rPr>
        <w:t>制作《医疗器械变更注册（备案）文件》，加盖本行政机关专用章。</w:t>
      </w:r>
    </w:p>
    <w:p w:rsidR="00427F48" w:rsidRDefault="0009253A">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三、其他要求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（一）延续注册相关要求</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国家药品监督管理局应当在《医疗器械注册证》有效期届满前作出准予延续的决定；逾期未作决定的，视为准予延续。国家药品监督管理局发出补正资料通知和召开专家咨询会议通知等行为，不属于《医疗器械监督管理条例》第二十二条中逾期未作决定的情形。</w:t>
      </w:r>
    </w:p>
    <w:p w:rsidR="00427F48" w:rsidRDefault="0009253A">
      <w:pPr>
        <w:numPr>
          <w:ilvl w:val="0"/>
          <w:numId w:val="1"/>
        </w:numPr>
        <w:shd w:val="clear" w:color="auto" w:fill="FFFFFF"/>
        <w:spacing w:line="560" w:lineRule="exact"/>
        <w:ind w:firstLineChars="200" w:firstLine="640"/>
        <w:rPr>
          <w:rFonts w:eastAsia="仿宋_GB2312"/>
          <w:kern w:val="0"/>
          <w:sz w:val="32"/>
          <w:szCs w:val="32"/>
        </w:rPr>
      </w:pPr>
      <w:r>
        <w:rPr>
          <w:rFonts w:eastAsia="仿宋_GB2312"/>
          <w:kern w:val="0"/>
          <w:sz w:val="32"/>
          <w:szCs w:val="32"/>
        </w:rPr>
        <w:t>关于延续注册和原注册证变更的衔接</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（三）关于注册证有关内容</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境内第三类医疗器械委托生产的，在注册证备注栏中注明受托企业名称。</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（四）临床试验审批的申请应当自受理申请之日</w:t>
      </w:r>
      <w:r>
        <w:rPr>
          <w:rFonts w:eastAsia="仿宋_GB2312"/>
          <w:kern w:val="0"/>
          <w:sz w:val="32"/>
          <w:szCs w:val="32"/>
        </w:rPr>
        <w:t>60</w:t>
      </w:r>
      <w:r>
        <w:rPr>
          <w:rFonts w:eastAsia="仿宋_GB2312"/>
          <w:kern w:val="0"/>
          <w:sz w:val="32"/>
          <w:szCs w:val="32"/>
        </w:rPr>
        <w:t>日内作出是否同意的决定，并通过国家药品监督管理局医疗器械审评中</w:t>
      </w:r>
      <w:r>
        <w:rPr>
          <w:rFonts w:eastAsia="仿宋_GB2312"/>
          <w:kern w:val="0"/>
          <w:sz w:val="32"/>
          <w:szCs w:val="32"/>
        </w:rPr>
        <w:lastRenderedPageBreak/>
        <w:t>心网站通知申请人。逾期未通知的，视为同意。</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（五）国家药品监督管理局医疗器械技术审评中心应当根据《医疗器械注册与备案管理办法》（市场总局令第</w:t>
      </w:r>
      <w:r>
        <w:rPr>
          <w:rFonts w:eastAsia="仿宋_GB2312"/>
          <w:kern w:val="0"/>
          <w:sz w:val="32"/>
          <w:szCs w:val="32"/>
        </w:rPr>
        <w:t>47</w:t>
      </w:r>
      <w:r>
        <w:rPr>
          <w:rFonts w:eastAsia="仿宋_GB2312"/>
          <w:kern w:val="0"/>
          <w:sz w:val="32"/>
          <w:szCs w:val="32"/>
        </w:rPr>
        <w:t>号）第五十七条、《体外诊断试剂注册与备案管理办法》（市场总局令第</w:t>
      </w:r>
      <w:r>
        <w:rPr>
          <w:rFonts w:eastAsia="仿宋_GB2312"/>
          <w:kern w:val="0"/>
          <w:sz w:val="32"/>
          <w:szCs w:val="32"/>
        </w:rPr>
        <w:t>48</w:t>
      </w:r>
      <w:r>
        <w:rPr>
          <w:rFonts w:eastAsia="仿宋_GB2312"/>
          <w:kern w:val="0"/>
          <w:sz w:val="32"/>
          <w:szCs w:val="32"/>
        </w:rPr>
        <w:t>号）第五十六条要求制定相应工作程序，办理有关事项。处理异议的工作时限原则上为</w:t>
      </w:r>
      <w:r>
        <w:rPr>
          <w:rFonts w:eastAsia="仿宋_GB2312"/>
          <w:kern w:val="0"/>
          <w:sz w:val="32"/>
          <w:szCs w:val="32"/>
        </w:rPr>
        <w:t>30</w:t>
      </w:r>
      <w:r>
        <w:rPr>
          <w:rFonts w:eastAsia="仿宋_GB2312"/>
          <w:kern w:val="0"/>
          <w:sz w:val="32"/>
          <w:szCs w:val="32"/>
        </w:rPr>
        <w:t>个工作日。</w:t>
      </w:r>
    </w:p>
    <w:p w:rsidR="00427F48" w:rsidRDefault="0009253A">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（六）申请人自注册申请受理后，</w:t>
      </w:r>
      <w:r>
        <w:rPr>
          <w:rFonts w:eastAsia="仿宋_GB2312"/>
          <w:kern w:val="0"/>
          <w:sz w:val="32"/>
          <w:szCs w:val="32"/>
        </w:rPr>
        <w:t>15</w:t>
      </w:r>
      <w:r>
        <w:rPr>
          <w:rFonts w:eastAsia="仿宋_GB2312"/>
          <w:kern w:val="0"/>
          <w:sz w:val="32"/>
          <w:szCs w:val="32"/>
        </w:rPr>
        <w:t>个工作日内未按要求缴费的，视为申请人主动撤回申请，国家药品监督管理局终止其注册程序。</w:t>
      </w:r>
    </w:p>
    <w:p w:rsidR="0009253A" w:rsidRDefault="0009253A">
      <w:pPr>
        <w:tabs>
          <w:tab w:val="left" w:pos="7560"/>
        </w:tabs>
        <w:spacing w:line="640" w:lineRule="exact"/>
        <w:ind w:firstLineChars="200" w:firstLine="640"/>
        <w:rPr>
          <w:rFonts w:eastAsia="仿宋_GB2312"/>
          <w:sz w:val="32"/>
          <w:szCs w:val="32"/>
        </w:rPr>
      </w:pPr>
      <w:r>
        <w:rPr>
          <w:rFonts w:eastAsia="仿宋_GB2312"/>
          <w:kern w:val="0"/>
          <w:sz w:val="32"/>
          <w:szCs w:val="32"/>
        </w:rPr>
        <w:t>（七）《医疗器械注册证》和《医疗器械变更注册（备案）文件》等用</w:t>
      </w:r>
      <w:r>
        <w:rPr>
          <w:rFonts w:eastAsia="仿宋_GB2312"/>
          <w:kern w:val="0"/>
          <w:sz w:val="32"/>
          <w:szCs w:val="32"/>
        </w:rPr>
        <w:t>A4</w:t>
      </w:r>
      <w:r>
        <w:rPr>
          <w:rFonts w:eastAsia="仿宋_GB2312"/>
          <w:kern w:val="0"/>
          <w:sz w:val="32"/>
          <w:szCs w:val="32"/>
        </w:rPr>
        <w:t>纸打印，也可采用电子形式发放。</w:t>
      </w:r>
    </w:p>
    <w:sectPr w:rsidR="0009253A">
      <w:footerReference w:type="even" r:id="rId14"/>
      <w:footerReference w:type="default" r:id="rId15"/>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FAC" w:rsidRDefault="004A1FAC">
      <w:r>
        <w:separator/>
      </w:r>
    </w:p>
  </w:endnote>
  <w:endnote w:type="continuationSeparator" w:id="0">
    <w:p w:rsidR="004A1FAC" w:rsidRDefault="004A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48" w:rsidRDefault="009C605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27F48" w:rsidRDefault="0009253A">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09253A">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F48" w:rsidRDefault="009C605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27F48" w:rsidRDefault="0009253A">
                          <w:pPr>
                            <w:pStyle w:val="a5"/>
                          </w:pPr>
                          <w:r w:rsidRPr="0067546A">
                            <w:rPr>
                              <w:rFonts w:hint="eastAsia"/>
                              <w:color w:val="FFFFFF"/>
                              <w:sz w:val="28"/>
                              <w:szCs w:val="28"/>
                            </w:rPr>
                            <w:t>—</w:t>
                          </w:r>
                          <w:r w:rsidRPr="0067546A">
                            <w:rPr>
                              <w:rFonts w:hint="eastAsia"/>
                              <w:sz w:val="28"/>
                              <w:szCs w:val="28"/>
                            </w:rPr>
                            <w:t>—</w:t>
                          </w:r>
                          <w:r w:rsidRPr="0067546A">
                            <w:rPr>
                              <w:rFonts w:hint="eastAsia"/>
                              <w:sz w:val="28"/>
                              <w:szCs w:val="28"/>
                            </w:rPr>
                            <w:t xml:space="preserve"> </w:t>
                          </w:r>
                          <w:r w:rsidRPr="0067546A">
                            <w:rPr>
                              <w:sz w:val="28"/>
                              <w:szCs w:val="28"/>
                            </w:rPr>
                            <w:fldChar w:fldCharType="begin"/>
                          </w:r>
                          <w:r w:rsidRPr="0067546A">
                            <w:rPr>
                              <w:sz w:val="28"/>
                              <w:szCs w:val="28"/>
                            </w:rPr>
                            <w:instrText xml:space="preserve"> PAGE  \* MERGEFORMAT </w:instrText>
                          </w:r>
                          <w:r w:rsidRPr="0067546A">
                            <w:rPr>
                              <w:sz w:val="28"/>
                              <w:szCs w:val="28"/>
                            </w:rPr>
                            <w:fldChar w:fldCharType="separate"/>
                          </w:r>
                          <w:r w:rsidR="00D857CA">
                            <w:rPr>
                              <w:noProof/>
                              <w:sz w:val="28"/>
                              <w:szCs w:val="28"/>
                            </w:rPr>
                            <w:t>1</w:t>
                          </w:r>
                          <w:r w:rsidRPr="0067546A">
                            <w:rPr>
                              <w:sz w:val="28"/>
                              <w:szCs w:val="28"/>
                            </w:rPr>
                            <w:fldChar w:fldCharType="end"/>
                          </w:r>
                          <w:r w:rsidRPr="0067546A">
                            <w:rPr>
                              <w:rFonts w:hint="eastAsia"/>
                              <w:sz w:val="28"/>
                              <w:szCs w:val="28"/>
                            </w:rPr>
                            <w:t xml:space="preserve"> </w:t>
                          </w:r>
                          <w:r w:rsidRPr="0067546A">
                            <w:rPr>
                              <w:rFonts w:hint="eastAsia"/>
                              <w:sz w:val="28"/>
                              <w:szCs w:val="28"/>
                            </w:rPr>
                            <w:t>—</w:t>
                          </w:r>
                          <w:r w:rsidRPr="0067546A">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427F48" w:rsidRDefault="0009253A">
                    <w:pPr>
                      <w:pStyle w:val="a5"/>
                    </w:pPr>
                    <w:r w:rsidRPr="0067546A">
                      <w:rPr>
                        <w:rFonts w:hint="eastAsia"/>
                        <w:color w:val="FFFFFF"/>
                        <w:sz w:val="28"/>
                        <w:szCs w:val="28"/>
                      </w:rPr>
                      <w:t>—</w:t>
                    </w:r>
                    <w:r w:rsidRPr="0067546A">
                      <w:rPr>
                        <w:rFonts w:hint="eastAsia"/>
                        <w:sz w:val="28"/>
                        <w:szCs w:val="28"/>
                      </w:rPr>
                      <w:t>—</w:t>
                    </w:r>
                    <w:r w:rsidRPr="0067546A">
                      <w:rPr>
                        <w:rFonts w:hint="eastAsia"/>
                        <w:sz w:val="28"/>
                        <w:szCs w:val="28"/>
                      </w:rPr>
                      <w:t xml:space="preserve"> </w:t>
                    </w:r>
                    <w:r w:rsidRPr="0067546A">
                      <w:rPr>
                        <w:sz w:val="28"/>
                        <w:szCs w:val="28"/>
                      </w:rPr>
                      <w:fldChar w:fldCharType="begin"/>
                    </w:r>
                    <w:r w:rsidRPr="0067546A">
                      <w:rPr>
                        <w:sz w:val="28"/>
                        <w:szCs w:val="28"/>
                      </w:rPr>
                      <w:instrText xml:space="preserve"> PAGE  \* MERGEFORMAT </w:instrText>
                    </w:r>
                    <w:r w:rsidRPr="0067546A">
                      <w:rPr>
                        <w:sz w:val="28"/>
                        <w:szCs w:val="28"/>
                      </w:rPr>
                      <w:fldChar w:fldCharType="separate"/>
                    </w:r>
                    <w:r w:rsidR="00D857CA">
                      <w:rPr>
                        <w:noProof/>
                        <w:sz w:val="28"/>
                        <w:szCs w:val="28"/>
                      </w:rPr>
                      <w:t>1</w:t>
                    </w:r>
                    <w:r w:rsidRPr="0067546A">
                      <w:rPr>
                        <w:sz w:val="28"/>
                        <w:szCs w:val="28"/>
                      </w:rPr>
                      <w:fldChar w:fldCharType="end"/>
                    </w:r>
                    <w:r w:rsidRPr="0067546A">
                      <w:rPr>
                        <w:rFonts w:hint="eastAsia"/>
                        <w:sz w:val="28"/>
                        <w:szCs w:val="28"/>
                      </w:rPr>
                      <w:t xml:space="preserve"> </w:t>
                    </w:r>
                    <w:r w:rsidRPr="0067546A">
                      <w:rPr>
                        <w:rFonts w:hint="eastAsia"/>
                        <w:sz w:val="28"/>
                        <w:szCs w:val="28"/>
                      </w:rPr>
                      <w:t>—</w:t>
                    </w:r>
                    <w:r w:rsidRPr="0067546A">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FAC" w:rsidRDefault="004A1FAC">
      <w:r>
        <w:separator/>
      </w:r>
    </w:p>
  </w:footnote>
  <w:footnote w:type="continuationSeparator" w:id="0">
    <w:p w:rsidR="004A1FAC" w:rsidRDefault="004A1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7E0B26"/>
    <w:multiLevelType w:val="singleLevel"/>
    <w:tmpl w:val="CD7E0B2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4FF80FA"/>
    <w:rsid w:val="BFDF17B0"/>
    <w:rsid w:val="BFF71F50"/>
    <w:rsid w:val="CF717FDA"/>
    <w:rsid w:val="D71B72AE"/>
    <w:rsid w:val="DA563CF3"/>
    <w:rsid w:val="DBE0029F"/>
    <w:rsid w:val="DE73E0BE"/>
    <w:rsid w:val="DF7D2935"/>
    <w:rsid w:val="E7F9DC41"/>
    <w:rsid w:val="ECE3406E"/>
    <w:rsid w:val="EDFA4002"/>
    <w:rsid w:val="EFF8849A"/>
    <w:rsid w:val="F33F22C9"/>
    <w:rsid w:val="F3BB3680"/>
    <w:rsid w:val="F3F261CB"/>
    <w:rsid w:val="F47E5561"/>
    <w:rsid w:val="FEE16E85"/>
    <w:rsid w:val="FFD7EA13"/>
    <w:rsid w:val="00001DC0"/>
    <w:rsid w:val="00004BD1"/>
    <w:rsid w:val="00006D86"/>
    <w:rsid w:val="000109FE"/>
    <w:rsid w:val="00030022"/>
    <w:rsid w:val="000335DF"/>
    <w:rsid w:val="00035161"/>
    <w:rsid w:val="0003704E"/>
    <w:rsid w:val="000574F7"/>
    <w:rsid w:val="00061DFE"/>
    <w:rsid w:val="00071507"/>
    <w:rsid w:val="00074D97"/>
    <w:rsid w:val="00076D87"/>
    <w:rsid w:val="0009253A"/>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27F48"/>
    <w:rsid w:val="00443ED4"/>
    <w:rsid w:val="0045249E"/>
    <w:rsid w:val="00453B18"/>
    <w:rsid w:val="00454EAC"/>
    <w:rsid w:val="004603D5"/>
    <w:rsid w:val="00466921"/>
    <w:rsid w:val="0047111D"/>
    <w:rsid w:val="00472F36"/>
    <w:rsid w:val="004A1FAC"/>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7546A"/>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C605A"/>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857CA"/>
    <w:rsid w:val="00D91F9F"/>
    <w:rsid w:val="00DD3744"/>
    <w:rsid w:val="00DE7F37"/>
    <w:rsid w:val="00E035B9"/>
    <w:rsid w:val="00E05A99"/>
    <w:rsid w:val="00E25F5E"/>
    <w:rsid w:val="00E352DB"/>
    <w:rsid w:val="00E44B7A"/>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236B7FDA"/>
    <w:rsid w:val="27D5D328"/>
    <w:rsid w:val="2FDBF0C6"/>
    <w:rsid w:val="2FEA2721"/>
    <w:rsid w:val="32FF8941"/>
    <w:rsid w:val="3FFC6572"/>
    <w:rsid w:val="494F6A15"/>
    <w:rsid w:val="4D6140A1"/>
    <w:rsid w:val="55C180FD"/>
    <w:rsid w:val="57FFE6B9"/>
    <w:rsid w:val="5F5FE4C0"/>
    <w:rsid w:val="67A41714"/>
    <w:rsid w:val="690C630C"/>
    <w:rsid w:val="6DABD3B8"/>
    <w:rsid w:val="709B3342"/>
    <w:rsid w:val="76FFDC30"/>
    <w:rsid w:val="7BC75245"/>
    <w:rsid w:val="7CFE8A50"/>
    <w:rsid w:val="7D972899"/>
    <w:rsid w:val="7FAADFF7"/>
    <w:rsid w:val="7FF964EE"/>
    <w:rsid w:val="7FFB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0BC8E7-E79C-4155-8C8A-09EB62FC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BF%9B%E5%8F%A3" TargetMode="External"/><Relationship Id="rId13" Type="http://schemas.openxmlformats.org/officeDocument/2006/relationships/hyperlink" Target="https://baike.baidu.com/item/%E7%8E%AF%E8%8A%82" TargetMode="External"/><Relationship Id="rId3" Type="http://schemas.openxmlformats.org/officeDocument/2006/relationships/settings" Target="settings.xml"/><Relationship Id="rId7" Type="http://schemas.openxmlformats.org/officeDocument/2006/relationships/hyperlink" Target="https://baike.baidu.com/item/%E5%A2%83%E5%86%85" TargetMode="External"/><Relationship Id="rId12" Type="http://schemas.openxmlformats.org/officeDocument/2006/relationships/hyperlink" Target="https://baike.baidu.com/item/%E8%A1%8C%E6%94%BF%E5%AE%A1%E6%89%B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5%8F%97%E7%90%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aike.baidu.com/item/%E6%B3%A8%E5%86%8C/33392" TargetMode="External"/><Relationship Id="rId4" Type="http://schemas.openxmlformats.org/officeDocument/2006/relationships/webSettings" Target="webSettings.xml"/><Relationship Id="rId9" Type="http://schemas.openxmlformats.org/officeDocument/2006/relationships/hyperlink" Target="https://baike.baidu.com/item/%E5%8C%BB%E7%96%97%E5%99%A8%E6%A2%B0"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724</Words>
  <Characters>4133</Characters>
  <Application>Microsoft Office Word</Application>
  <DocSecurity>0</DocSecurity>
  <Lines>34</Lines>
  <Paragraphs>9</Paragraphs>
  <ScaleCrop>false</ScaleCrop>
  <Company>Xtzj.Com</Company>
  <LinksUpToDate>false</LinksUpToDate>
  <CharactersWithSpaces>4848</CharactersWithSpaces>
  <SharedDoc>false</SharedDoc>
  <HLinks>
    <vt:vector size="42" baseType="variant">
      <vt:variant>
        <vt:i4>3604537</vt:i4>
      </vt:variant>
      <vt:variant>
        <vt:i4>18</vt:i4>
      </vt:variant>
      <vt:variant>
        <vt:i4>0</vt:i4>
      </vt:variant>
      <vt:variant>
        <vt:i4>5</vt:i4>
      </vt:variant>
      <vt:variant>
        <vt:lpwstr>https://baike.baidu.com/item/%E7%8E%AF%E8%8A%82</vt:lpwstr>
      </vt:variant>
      <vt:variant>
        <vt:lpwstr/>
      </vt:variant>
      <vt:variant>
        <vt:i4>1376279</vt:i4>
      </vt:variant>
      <vt:variant>
        <vt:i4>15</vt:i4>
      </vt:variant>
      <vt:variant>
        <vt:i4>0</vt:i4>
      </vt:variant>
      <vt:variant>
        <vt:i4>5</vt:i4>
      </vt:variant>
      <vt:variant>
        <vt:lpwstr>https://baike.baidu.com/item/%E8%A1%8C%E6%94%BF%E5%AE%A1%E6%89%B9</vt:lpwstr>
      </vt:variant>
      <vt:variant>
        <vt:lpwstr/>
      </vt:variant>
      <vt:variant>
        <vt:i4>3473516</vt:i4>
      </vt:variant>
      <vt:variant>
        <vt:i4>12</vt:i4>
      </vt:variant>
      <vt:variant>
        <vt:i4>0</vt:i4>
      </vt:variant>
      <vt:variant>
        <vt:i4>5</vt:i4>
      </vt:variant>
      <vt:variant>
        <vt:lpwstr>https://baike.baidu.com/item/%E5%8F%97%E7%90%86</vt:lpwstr>
      </vt:variant>
      <vt:variant>
        <vt:lpwstr/>
      </vt:variant>
      <vt:variant>
        <vt:i4>4194305</vt:i4>
      </vt:variant>
      <vt:variant>
        <vt:i4>9</vt:i4>
      </vt:variant>
      <vt:variant>
        <vt:i4>0</vt:i4>
      </vt:variant>
      <vt:variant>
        <vt:i4>5</vt:i4>
      </vt:variant>
      <vt:variant>
        <vt:lpwstr>https://baike.baidu.com/item/%E6%B3%A8%E5%86%8C/33392</vt:lpwstr>
      </vt:variant>
      <vt:variant>
        <vt:lpwstr/>
      </vt:variant>
      <vt:variant>
        <vt:i4>4390986</vt:i4>
      </vt:variant>
      <vt:variant>
        <vt:i4>6</vt:i4>
      </vt:variant>
      <vt:variant>
        <vt:i4>0</vt:i4>
      </vt:variant>
      <vt:variant>
        <vt:i4>5</vt:i4>
      </vt:variant>
      <vt:variant>
        <vt:lpwstr>https://baike.baidu.com/item/%E5%8C%BB%E7%96%97%E5%99%A8%E6%A2%B0</vt:lpwstr>
      </vt:variant>
      <vt:variant>
        <vt:lpwstr/>
      </vt:variant>
      <vt:variant>
        <vt:i4>3670127</vt:i4>
      </vt:variant>
      <vt:variant>
        <vt:i4>3</vt:i4>
      </vt:variant>
      <vt:variant>
        <vt:i4>0</vt:i4>
      </vt:variant>
      <vt:variant>
        <vt:i4>5</vt:i4>
      </vt:variant>
      <vt:variant>
        <vt:lpwstr>https://baike.baidu.com/item/%E8%BF%9B%E5%8F%A3</vt:lpwstr>
      </vt:variant>
      <vt:variant>
        <vt:lpwstr/>
      </vt:variant>
      <vt:variant>
        <vt:i4>7209018</vt:i4>
      </vt:variant>
      <vt:variant>
        <vt:i4>0</vt:i4>
      </vt:variant>
      <vt:variant>
        <vt:i4>0</vt:i4>
      </vt:variant>
      <vt:variant>
        <vt:i4>5</vt:i4>
      </vt:variant>
      <vt:variant>
        <vt:lpwstr>https://baike.baidu.com/item/%E5%A2%83%E5%86%85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2021-11-03T14:18:00Z</cp:lastPrinted>
  <dcterms:created xsi:type="dcterms:W3CDTF">2021-11-08T14:23:00Z</dcterms:created>
  <dcterms:modified xsi:type="dcterms:W3CDTF">2021-11-08T14:23:00Z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