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left"/>
        <w:rPr>
          <w:rFonts w:hint="eastAsia" w:ascii="黑体" w:hAnsi="黑体" w:eastAsia="黑体" w:cs="黑体"/>
          <w:sz w:val="32"/>
          <w:szCs w:val="32"/>
          <w:lang w:eastAsia="zh-CN"/>
        </w:rPr>
      </w:pPr>
      <w:bookmarkStart w:id="0" w:name="bookmark0"/>
      <w:bookmarkStart w:id="1" w:name="_Toc526081777"/>
      <w:r>
        <w:rPr>
          <w:rFonts w:hint="eastAsia" w:ascii="黑体" w:hAnsi="黑体" w:eastAsia="黑体" w:cs="黑体"/>
          <w:sz w:val="32"/>
          <w:szCs w:val="32"/>
          <w:lang w:eastAsia="zh-CN"/>
        </w:rPr>
        <w:t>附件</w:t>
      </w:r>
    </w:p>
    <w:p>
      <w:pPr>
        <w:spacing w:before="120" w:after="120" w:line="360" w:lineRule="auto"/>
        <w:jc w:val="right"/>
        <w:rPr>
          <w:rFonts w:ascii="方正小标宋简体" w:hAnsi="黑体" w:eastAsia="方正小标宋简体"/>
          <w:sz w:val="32"/>
          <w:szCs w:val="32"/>
          <w:lang w:eastAsia="zh-CN"/>
        </w:rPr>
      </w:pPr>
      <w:r>
        <w:rPr>
          <w:rFonts w:hint="eastAsia" w:ascii="方正小标宋简体" w:hAnsi="黑体" w:eastAsia="方正小标宋简体" w:cs="方正小标宋简体"/>
          <w:sz w:val="32"/>
          <w:szCs w:val="32"/>
          <w:lang w:eastAsia="zh-CN"/>
        </w:rPr>
        <w:t>编号：CNCA-C24-01：2021</w:t>
      </w:r>
    </w:p>
    <w:bookmarkEnd w:id="0"/>
    <w:bookmarkEnd w:id="1"/>
    <w:p>
      <w:pPr>
        <w:spacing w:before="624" w:line="520" w:lineRule="atLeast"/>
        <w:jc w:val="center"/>
        <w:rPr>
          <w:rFonts w:ascii="方正小标宋简体" w:hAnsi="华文楷体" w:eastAsia="方正小标宋简体"/>
          <w:bCs/>
          <w:sz w:val="44"/>
        </w:rPr>
      </w:pPr>
      <w:bookmarkStart w:id="2" w:name="_Toc527530682"/>
      <w:bookmarkStart w:id="3" w:name="_Toc526081648"/>
      <w:bookmarkStart w:id="4" w:name="_Toc526081779"/>
      <w:bookmarkStart w:id="5" w:name="bookmark2"/>
      <w:bookmarkStart w:id="6" w:name="_Toc536784374"/>
    </w:p>
    <w:p>
      <w:pPr>
        <w:spacing w:before="624" w:line="520" w:lineRule="atLeast"/>
        <w:jc w:val="center"/>
        <w:rPr>
          <w:rFonts w:ascii="方正小标宋简体" w:hAnsi="华文楷体" w:eastAsia="方正小标宋简体"/>
          <w:bCs/>
          <w:sz w:val="44"/>
        </w:rPr>
      </w:pPr>
      <w:r>
        <w:rPr>
          <w:rFonts w:hint="eastAsia" w:ascii="方正小标宋简体" w:hAnsi="华文楷体" w:eastAsia="方正小标宋简体"/>
          <w:bCs/>
          <w:sz w:val="44"/>
        </w:rPr>
        <w:t>强制性产品认证实施规则</w:t>
      </w:r>
    </w:p>
    <w:p>
      <w:pPr>
        <w:spacing w:before="624" w:line="520" w:lineRule="atLeast"/>
        <w:jc w:val="center"/>
        <w:rPr>
          <w:rFonts w:ascii="方正小标宋简体" w:hAnsi="华文楷体" w:eastAsia="方正小标宋简体"/>
          <w:bCs/>
          <w:sz w:val="44"/>
        </w:rPr>
      </w:pPr>
      <w:r>
        <w:rPr>
          <w:rFonts w:hint="eastAsia" w:ascii="方正小标宋简体" w:hAnsi="华文楷体" w:eastAsia="方正小标宋简体"/>
          <w:bCs/>
          <w:sz w:val="44"/>
        </w:rPr>
        <w:t>家用燃气器具</w:t>
      </w:r>
    </w:p>
    <w:p>
      <w:pPr>
        <w:spacing w:before="624" w:line="520" w:lineRule="atLeast"/>
        <w:jc w:val="center"/>
        <w:rPr>
          <w:rFonts w:ascii="华文楷体" w:hAnsi="华文楷体" w:eastAsia="华文楷体"/>
          <w:b/>
          <w:bCs/>
          <w:sz w:val="44"/>
        </w:rPr>
      </w:pPr>
    </w:p>
    <w:p>
      <w:pPr>
        <w:spacing w:before="624" w:line="520" w:lineRule="atLeast"/>
        <w:jc w:val="center"/>
        <w:rPr>
          <w:rFonts w:ascii="华文楷体" w:hAnsi="华文楷体" w:eastAsia="华文楷体"/>
          <w:b/>
          <w:bCs/>
          <w:sz w:val="44"/>
        </w:rPr>
      </w:pPr>
    </w:p>
    <w:p>
      <w:pPr>
        <w:tabs>
          <w:tab w:val="left" w:pos="2749"/>
        </w:tabs>
        <w:spacing w:before="624" w:line="520" w:lineRule="atLeast"/>
        <w:rPr>
          <w:rFonts w:ascii="华文楷体" w:hAnsi="华文楷体" w:eastAsia="PMingLiU"/>
          <w:b/>
          <w:bCs/>
          <w:sz w:val="44"/>
        </w:rPr>
      </w:pPr>
      <w:r>
        <w:rPr>
          <w:rFonts w:ascii="华文楷体" w:hAnsi="华文楷体" w:eastAsia="华文楷体"/>
          <w:b/>
          <w:bCs/>
          <w:sz w:val="44"/>
        </w:rPr>
        <w:tab/>
      </w:r>
    </w:p>
    <w:p>
      <w:pPr>
        <w:spacing w:before="624" w:line="520" w:lineRule="atLeast"/>
        <w:rPr>
          <w:rFonts w:ascii="华文楷体" w:hAnsi="华文楷体" w:eastAsia="PMingLiU"/>
          <w:b/>
          <w:bCs/>
          <w:sz w:val="44"/>
        </w:rPr>
      </w:pPr>
    </w:p>
    <w:tbl>
      <w:tblPr>
        <w:tblStyle w:val="23"/>
        <w:tblW w:w="9356" w:type="dxa"/>
        <w:jc w:val="center"/>
        <w:tblInd w:w="0" w:type="dxa"/>
        <w:tblBorders>
          <w:top w:val="none" w:color="auto" w:sz="0"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643"/>
        <w:gridCol w:w="4713"/>
      </w:tblGrid>
      <w:tr>
        <w:tblPrEx>
          <w:tblBorders>
            <w:top w:val="none" w:color="auto" w:sz="0"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680" w:hRule="atLeast"/>
          <w:jc w:val="center"/>
        </w:trPr>
        <w:tc>
          <w:tcPr>
            <w:tcW w:w="4643" w:type="dxa"/>
            <w:tcBorders>
              <w:bottom w:val="single" w:color="auto" w:sz="8" w:space="0"/>
            </w:tcBorders>
            <w:vAlign w:val="center"/>
          </w:tcPr>
          <w:p>
            <w:pPr>
              <w:spacing w:line="520" w:lineRule="atLeast"/>
              <w:rPr>
                <w:rFonts w:ascii="方正小标宋简体" w:hAnsi="华文楷体" w:eastAsia="方正小标宋简体"/>
                <w:sz w:val="28"/>
                <w:szCs w:val="28"/>
              </w:rPr>
            </w:pPr>
            <w:r>
              <w:rPr>
                <w:rFonts w:ascii="方正小标宋简体" w:hAnsi="华文楷体" w:eastAsia="方正小标宋简体"/>
                <w:sz w:val="28"/>
                <w:szCs w:val="28"/>
              </w:rPr>
              <w:t>2021</w:t>
            </w:r>
            <w:r>
              <w:rPr>
                <w:rFonts w:hint="eastAsia" w:ascii="方正小标宋简体" w:hAnsi="华文楷体" w:eastAsia="方正小标宋简体"/>
                <w:sz w:val="28"/>
                <w:szCs w:val="28"/>
              </w:rPr>
              <w:t>-</w:t>
            </w:r>
            <w:r>
              <w:rPr>
                <w:rFonts w:ascii="方正小标宋简体" w:hAnsi="华文楷体" w:eastAsia="方正小标宋简体"/>
                <w:sz w:val="28"/>
                <w:szCs w:val="28"/>
              </w:rPr>
              <w:t>0</w:t>
            </w:r>
            <w:r>
              <w:rPr>
                <w:rFonts w:hint="eastAsia" w:ascii="方正小标宋简体" w:hAnsi="华文楷体" w:eastAsia="方正小标宋简体"/>
                <w:sz w:val="28"/>
                <w:szCs w:val="28"/>
                <w:lang w:val="en-US" w:eastAsia="zh-CN"/>
              </w:rPr>
              <w:t>7</w:t>
            </w:r>
            <w:r>
              <w:rPr>
                <w:rFonts w:hint="eastAsia" w:ascii="方正小标宋简体" w:hAnsi="华文楷体" w:eastAsia="方正小标宋简体"/>
                <w:sz w:val="28"/>
                <w:szCs w:val="28"/>
              </w:rPr>
              <w:t>-</w:t>
            </w:r>
            <w:r>
              <w:rPr>
                <w:rFonts w:hint="eastAsia" w:ascii="方正小标宋简体" w:hAnsi="华文楷体" w:eastAsia="方正小标宋简体"/>
                <w:sz w:val="28"/>
                <w:szCs w:val="28"/>
                <w:lang w:val="en-US" w:eastAsia="zh-CN"/>
              </w:rPr>
              <w:t>02</w:t>
            </w:r>
            <w:r>
              <w:rPr>
                <w:rFonts w:hint="eastAsia" w:ascii="方正小标宋简体" w:hAnsi="华文楷体" w:eastAsia="方正小标宋简体"/>
                <w:sz w:val="28"/>
                <w:szCs w:val="28"/>
              </w:rPr>
              <w:t>发布</w:t>
            </w:r>
          </w:p>
        </w:tc>
        <w:tc>
          <w:tcPr>
            <w:tcW w:w="4713" w:type="dxa"/>
            <w:tcBorders>
              <w:bottom w:val="single" w:color="auto" w:sz="8" w:space="0"/>
            </w:tcBorders>
            <w:vAlign w:val="center"/>
          </w:tcPr>
          <w:p>
            <w:pPr>
              <w:spacing w:line="520" w:lineRule="atLeast"/>
              <w:jc w:val="center"/>
              <w:rPr>
                <w:rFonts w:ascii="方正小标宋简体" w:hAnsi="华文楷体" w:eastAsia="方正小标宋简体"/>
                <w:sz w:val="28"/>
                <w:szCs w:val="28"/>
              </w:rPr>
            </w:pPr>
            <w:r>
              <w:rPr>
                <w:rFonts w:hint="eastAsia" w:ascii="方正小标宋简体" w:hAnsi="华文楷体" w:eastAsia="方正小标宋简体"/>
                <w:sz w:val="28"/>
                <w:szCs w:val="28"/>
              </w:rPr>
              <w:t xml:space="preserve">  </w:t>
            </w:r>
            <w:r>
              <w:rPr>
                <w:rFonts w:ascii="方正小标宋简体" w:hAnsi="华文楷体" w:eastAsia="方正小标宋简体"/>
                <w:sz w:val="28"/>
                <w:szCs w:val="28"/>
              </w:rPr>
              <w:t xml:space="preserve">              2021</w:t>
            </w:r>
            <w:r>
              <w:rPr>
                <w:rFonts w:hint="eastAsia" w:ascii="方正小标宋简体" w:hAnsi="华文楷体" w:eastAsia="方正小标宋简体"/>
                <w:sz w:val="28"/>
                <w:szCs w:val="28"/>
              </w:rPr>
              <w:t>-</w:t>
            </w:r>
            <w:r>
              <w:rPr>
                <w:rFonts w:ascii="方正小标宋简体" w:hAnsi="华文楷体" w:eastAsia="方正小标宋简体"/>
                <w:sz w:val="28"/>
                <w:szCs w:val="28"/>
              </w:rPr>
              <w:t>0</w:t>
            </w:r>
            <w:r>
              <w:rPr>
                <w:rFonts w:hint="eastAsia" w:ascii="方正小标宋简体" w:hAnsi="华文楷体" w:eastAsia="方正小标宋简体"/>
                <w:sz w:val="28"/>
                <w:szCs w:val="28"/>
                <w:lang w:val="en-US" w:eastAsia="zh-CN"/>
              </w:rPr>
              <w:t>7</w:t>
            </w:r>
            <w:r>
              <w:rPr>
                <w:rFonts w:hint="eastAsia" w:ascii="方正小标宋简体" w:hAnsi="华文楷体" w:eastAsia="方正小标宋简体"/>
                <w:sz w:val="28"/>
                <w:szCs w:val="28"/>
              </w:rPr>
              <w:t>-</w:t>
            </w:r>
            <w:r>
              <w:rPr>
                <w:rFonts w:hint="eastAsia" w:ascii="方正小标宋简体" w:hAnsi="华文楷体" w:eastAsia="方正小标宋简体"/>
                <w:sz w:val="28"/>
                <w:szCs w:val="28"/>
                <w:lang w:val="en-US" w:eastAsia="zh-CN"/>
              </w:rPr>
              <w:t>02</w:t>
            </w:r>
            <w:r>
              <w:rPr>
                <w:rFonts w:hint="eastAsia" w:ascii="方正小标宋简体" w:hAnsi="华文楷体" w:eastAsia="方正小标宋简体"/>
                <w:sz w:val="28"/>
                <w:szCs w:val="28"/>
              </w:rPr>
              <w:t>实施</w:t>
            </w:r>
          </w:p>
        </w:tc>
      </w:tr>
      <w:tr>
        <w:tblPrEx>
          <w:tblBorders>
            <w:top w:val="none" w:color="auto" w:sz="0"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680" w:hRule="atLeast"/>
          <w:jc w:val="center"/>
        </w:trPr>
        <w:tc>
          <w:tcPr>
            <w:tcW w:w="9356" w:type="dxa"/>
            <w:gridSpan w:val="2"/>
            <w:tcBorders>
              <w:top w:val="single" w:color="auto" w:sz="8" w:space="0"/>
              <w:bottom w:val="nil"/>
            </w:tcBorders>
            <w:vAlign w:val="center"/>
          </w:tcPr>
          <w:p>
            <w:pPr>
              <w:spacing w:before="624" w:line="520" w:lineRule="atLeast"/>
              <w:jc w:val="center"/>
              <w:rPr>
                <w:rFonts w:ascii="方正小标宋简体" w:hAnsi="华文楷体" w:eastAsia="PMingLiU"/>
                <w:bCs/>
                <w:sz w:val="32"/>
                <w:szCs w:val="32"/>
              </w:rPr>
            </w:pPr>
            <w:r>
              <w:rPr>
                <w:rFonts w:hint="eastAsia" w:ascii="方正小标宋简体" w:hAnsi="华文楷体" w:eastAsia="方正小标宋简体"/>
                <w:bCs/>
                <w:sz w:val="32"/>
                <w:szCs w:val="32"/>
              </w:rPr>
              <w:t>国家认证认可监督管理委员会发布</w:t>
            </w:r>
          </w:p>
          <w:p>
            <w:pPr>
              <w:spacing w:before="624" w:line="520" w:lineRule="atLeast"/>
              <w:jc w:val="both"/>
              <w:rPr>
                <w:rFonts w:ascii="方正小标宋简体" w:hAnsi="华文楷体" w:eastAsia="PMingLiU"/>
                <w:sz w:val="32"/>
                <w:szCs w:val="32"/>
              </w:rPr>
            </w:pPr>
          </w:p>
        </w:tc>
      </w:tr>
    </w:tbl>
    <w:p>
      <w:pPr>
        <w:jc w:val="center"/>
        <w:rPr>
          <w:rStyle w:val="41"/>
          <w:rFonts w:hint="eastAsia" w:ascii="方正仿宋简体" w:hAnsi="宋体" w:eastAsia="方正仿宋简体" w:cs="方正仿宋简体"/>
          <w:b/>
          <w:bCs/>
          <w:sz w:val="32"/>
          <w:szCs w:val="32"/>
        </w:rPr>
        <w:sectPr>
          <w:headerReference r:id="rId3" w:type="default"/>
          <w:footerReference r:id="rId4" w:type="even"/>
          <w:pgSz w:w="11909" w:h="16838"/>
          <w:pgMar w:top="1440" w:right="1797" w:bottom="1440" w:left="1797" w:header="1134" w:footer="1134" w:gutter="0"/>
          <w:pgNumType w:start="0"/>
          <w:cols w:space="720" w:num="1"/>
          <w:docGrid w:linePitch="360" w:charSpace="0"/>
        </w:sectPr>
      </w:pPr>
      <w:bookmarkStart w:id="7" w:name="_Toc74251149"/>
    </w:p>
    <w:p>
      <w:pPr>
        <w:jc w:val="center"/>
        <w:rPr>
          <w:rStyle w:val="41"/>
          <w:rFonts w:hint="eastAsia" w:ascii="方正仿宋简体" w:hAnsi="宋体" w:eastAsia="方正仿宋简体" w:cs="方正仿宋简体"/>
          <w:b/>
          <w:bCs/>
          <w:sz w:val="32"/>
          <w:szCs w:val="32"/>
        </w:rPr>
      </w:pPr>
    </w:p>
    <w:p>
      <w:pPr>
        <w:jc w:val="center"/>
        <w:rPr>
          <w:rFonts w:hint="eastAsia" w:ascii="仿宋_GB2312" w:eastAsia="仿宋_GB2312"/>
          <w:sz w:val="28"/>
          <w:szCs w:val="28"/>
        </w:rPr>
      </w:pPr>
      <w:r>
        <w:rPr>
          <w:rStyle w:val="41"/>
          <w:rFonts w:hint="eastAsia" w:ascii="方正仿宋简体" w:hAnsi="宋体" w:eastAsia="方正仿宋简体" w:cs="方正仿宋简体"/>
          <w:b/>
          <w:bCs/>
          <w:sz w:val="32"/>
          <w:szCs w:val="32"/>
        </w:rPr>
        <w:t>目录</w:t>
      </w:r>
      <w:bookmarkEnd w:id="2"/>
      <w:bookmarkEnd w:id="3"/>
      <w:bookmarkEnd w:id="4"/>
      <w:bookmarkEnd w:id="5"/>
      <w:bookmarkEnd w:id="6"/>
      <w:bookmarkEnd w:id="7"/>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p>
    <w:p>
      <w:pPr>
        <w:pStyle w:val="15"/>
        <w:rPr>
          <w:rFonts w:hint="eastAsia" w:ascii="仿宋_GB2312" w:eastAsia="仿宋_GB2312" w:hAnsiTheme="minorHAnsi" w:cstheme="minorBidi"/>
          <w:b w:val="0"/>
          <w:bCs w:val="0"/>
          <w:caps w:val="0"/>
          <w:color w:val="auto"/>
          <w:kern w:val="2"/>
          <w:lang w:val="en-US" w:eastAsia="zh-CN"/>
        </w:rPr>
      </w:pP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"_Toc74251150" </w:instrText>
      </w:r>
      <w:r>
        <w:fldChar w:fldCharType="separate"/>
      </w:r>
      <w:r>
        <w:rPr>
          <w:rStyle w:val="21"/>
          <w:rFonts w:hint="eastAsia" w:ascii="仿宋_GB2312" w:eastAsia="仿宋_GB2312"/>
          <w:b w:val="0"/>
          <w:smallCaps/>
        </w:rPr>
        <w:t xml:space="preserve">0 </w:t>
      </w:r>
      <w:r>
        <w:rPr>
          <w:rStyle w:val="21"/>
          <w:rFonts w:hint="eastAsia" w:ascii="仿宋_GB2312" w:eastAsia="仿宋_GB2312"/>
          <w:b w:val="0"/>
        </w:rPr>
        <w:t>引言</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_Toc74251150 \h </w:instrText>
      </w:r>
      <w:r>
        <w:rPr>
          <w:rFonts w:hint="eastAsia" w:ascii="仿宋_GB2312" w:eastAsia="仿宋_GB2312"/>
          <w:b w:val="0"/>
        </w:rPr>
        <w:fldChar w:fldCharType="separate"/>
      </w:r>
      <w:r>
        <w:rPr>
          <w:rFonts w:hint="eastAsia" w:ascii="仿宋_GB2312" w:eastAsia="仿宋_GB2312"/>
          <w:b w:val="0"/>
        </w:rPr>
        <w:t>1</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"_Toc74251151" </w:instrText>
      </w:r>
      <w:r>
        <w:fldChar w:fldCharType="separate"/>
      </w:r>
      <w:r>
        <w:rPr>
          <w:rStyle w:val="21"/>
          <w:rFonts w:hint="eastAsia" w:ascii="仿宋_GB2312" w:eastAsia="仿宋_GB2312"/>
          <w:b w:val="0"/>
        </w:rPr>
        <w:t>1 适用范围</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_Toc74251151 \h </w:instrText>
      </w:r>
      <w:r>
        <w:rPr>
          <w:rFonts w:hint="eastAsia" w:ascii="仿宋_GB2312" w:eastAsia="仿宋_GB2312"/>
          <w:b w:val="0"/>
        </w:rPr>
        <w:fldChar w:fldCharType="separate"/>
      </w:r>
      <w:r>
        <w:rPr>
          <w:rFonts w:hint="eastAsia" w:ascii="仿宋_GB2312" w:eastAsia="仿宋_GB2312"/>
          <w:b w:val="0"/>
        </w:rPr>
        <w:t>1</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"_Toc74251152" </w:instrText>
      </w:r>
      <w:r>
        <w:fldChar w:fldCharType="separate"/>
      </w:r>
      <w:r>
        <w:rPr>
          <w:rStyle w:val="21"/>
          <w:rFonts w:hint="eastAsia" w:ascii="仿宋_GB2312" w:eastAsia="仿宋_GB2312"/>
          <w:b w:val="0"/>
        </w:rPr>
        <w:t>2 认证依据标准</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_Toc74251152 \h </w:instrText>
      </w:r>
      <w:r>
        <w:rPr>
          <w:rFonts w:hint="eastAsia" w:ascii="仿宋_GB2312" w:eastAsia="仿宋_GB2312"/>
          <w:b w:val="0"/>
        </w:rPr>
        <w:fldChar w:fldCharType="separate"/>
      </w:r>
      <w:r>
        <w:rPr>
          <w:rFonts w:hint="eastAsia" w:ascii="仿宋_GB2312" w:eastAsia="仿宋_GB2312"/>
          <w:b w:val="0"/>
        </w:rPr>
        <w:t>1</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"_Toc74251153" </w:instrText>
      </w:r>
      <w:r>
        <w:fldChar w:fldCharType="separate"/>
      </w:r>
      <w:r>
        <w:rPr>
          <w:rStyle w:val="21"/>
          <w:rFonts w:hint="eastAsia" w:ascii="仿宋_GB2312" w:eastAsia="仿宋_GB2312"/>
          <w:b w:val="0"/>
        </w:rPr>
        <w:t>3 认证模式</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_Toc74251153 \h </w:instrText>
      </w:r>
      <w:r>
        <w:rPr>
          <w:rFonts w:hint="eastAsia" w:ascii="仿宋_GB2312" w:eastAsia="仿宋_GB2312"/>
          <w:b w:val="0"/>
        </w:rPr>
        <w:fldChar w:fldCharType="separate"/>
      </w:r>
      <w:r>
        <w:rPr>
          <w:rFonts w:hint="eastAsia" w:ascii="仿宋_GB2312" w:eastAsia="仿宋_GB2312"/>
          <w:b w:val="0"/>
        </w:rPr>
        <w:t>1</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"_Toc74251154" </w:instrText>
      </w:r>
      <w:r>
        <w:fldChar w:fldCharType="separate"/>
      </w:r>
      <w:r>
        <w:rPr>
          <w:rStyle w:val="21"/>
          <w:rFonts w:hint="eastAsia" w:ascii="仿宋_GB2312" w:eastAsia="仿宋_GB2312"/>
          <w:b w:val="0"/>
        </w:rPr>
        <w:t>4 认证单元划分</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_Toc74251154 \h </w:instrText>
      </w:r>
      <w:r>
        <w:rPr>
          <w:rFonts w:hint="eastAsia" w:ascii="仿宋_GB2312" w:eastAsia="仿宋_GB2312"/>
          <w:b w:val="0"/>
        </w:rPr>
        <w:fldChar w:fldCharType="separate"/>
      </w:r>
      <w:r>
        <w:rPr>
          <w:rFonts w:hint="eastAsia" w:ascii="仿宋_GB2312" w:eastAsia="仿宋_GB2312"/>
          <w:b w:val="0"/>
        </w:rPr>
        <w:t>2</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"_Toc74251155" </w:instrText>
      </w:r>
      <w:r>
        <w:fldChar w:fldCharType="separate"/>
      </w:r>
      <w:r>
        <w:rPr>
          <w:rStyle w:val="21"/>
          <w:rFonts w:hint="eastAsia" w:ascii="仿宋_GB2312" w:eastAsia="仿宋_GB2312"/>
          <w:b w:val="0"/>
        </w:rPr>
        <w:t>5 认证委托</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_Toc74251155 \h </w:instrText>
      </w:r>
      <w:r>
        <w:rPr>
          <w:rFonts w:hint="eastAsia" w:ascii="仿宋_GB2312" w:eastAsia="仿宋_GB2312"/>
          <w:b w:val="0"/>
        </w:rPr>
        <w:fldChar w:fldCharType="separate"/>
      </w:r>
      <w:r>
        <w:rPr>
          <w:rFonts w:hint="eastAsia" w:ascii="仿宋_GB2312" w:eastAsia="仿宋_GB2312"/>
          <w:b w:val="0"/>
        </w:rPr>
        <w:t>2</w:t>
      </w:r>
      <w:r>
        <w:rPr>
          <w:rFonts w:hint="eastAsia" w:ascii="仿宋_GB2312" w:eastAsia="仿宋_GB2312"/>
          <w:b w:val="0"/>
        </w:rPr>
        <w:fldChar w:fldCharType="end"/>
      </w:r>
      <w:r>
        <w:rPr>
          <w:rFonts w:hint="eastAsia" w:ascii="仿宋_GB2312" w:eastAsia="仿宋_GB2312"/>
          <w:b w:val="0"/>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"_Toc74251156" </w:instrText>
      </w:r>
      <w:r>
        <w:fldChar w:fldCharType="separate"/>
      </w:r>
      <w:r>
        <w:rPr>
          <w:rStyle w:val="21"/>
          <w:rFonts w:hint="eastAsia" w:ascii="仿宋_GB2312" w:hAnsi="宋体" w:eastAsia="仿宋_GB2312"/>
          <w:bCs/>
          <w:sz w:val="28"/>
          <w:szCs w:val="28"/>
          <w:lang w:val="en-US" w:eastAsia="zh-CN"/>
        </w:rPr>
        <w:t xml:space="preserve">5.1 </w:t>
      </w:r>
      <w:r>
        <w:rPr>
          <w:rStyle w:val="21"/>
          <w:rFonts w:hint="eastAsia" w:ascii="仿宋_GB2312" w:hAnsi="宋体" w:eastAsia="仿宋_GB2312"/>
          <w:bCs/>
          <w:sz w:val="28"/>
          <w:szCs w:val="28"/>
        </w:rPr>
        <w:t>认证委托的提出和受理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_Toc74251156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"_Toc74251157" </w:instrText>
      </w:r>
      <w:r>
        <w:fldChar w:fldCharType="separate"/>
      </w:r>
      <w:r>
        <w:rPr>
          <w:rStyle w:val="21"/>
          <w:rFonts w:hint="eastAsia" w:ascii="仿宋_GB2312" w:hAnsi="宋体" w:eastAsia="仿宋_GB2312"/>
          <w:bCs/>
          <w:sz w:val="28"/>
          <w:szCs w:val="28"/>
          <w:lang w:val="en-US" w:eastAsia="zh-CN"/>
        </w:rPr>
        <w:t>5.2 申请资料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_Toc74251157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"_Toc74251158" </w:instrText>
      </w:r>
      <w:r>
        <w:fldChar w:fldCharType="separate"/>
      </w:r>
      <w:r>
        <w:rPr>
          <w:rStyle w:val="21"/>
          <w:rFonts w:hint="eastAsia" w:ascii="仿宋_GB2312" w:hAnsi="宋体" w:eastAsia="仿宋_GB2312"/>
          <w:bCs/>
          <w:sz w:val="28"/>
          <w:szCs w:val="28"/>
          <w:lang w:val="en-US" w:eastAsia="zh-CN"/>
        </w:rPr>
        <w:t>5.3 实施安排</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_Toc74251158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"_Toc74251159" </w:instrText>
      </w:r>
      <w:r>
        <w:fldChar w:fldCharType="separate"/>
      </w:r>
      <w:r>
        <w:rPr>
          <w:rStyle w:val="21"/>
          <w:rFonts w:hint="eastAsia" w:ascii="仿宋_GB2312" w:eastAsia="仿宋_GB2312"/>
          <w:b w:val="0"/>
        </w:rPr>
        <w:t>6 认证实施</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_Toc74251159 \h </w:instrText>
      </w:r>
      <w:r>
        <w:rPr>
          <w:rFonts w:hint="eastAsia" w:ascii="仿宋_GB2312" w:eastAsia="仿宋_GB2312"/>
          <w:b w:val="0"/>
        </w:rPr>
        <w:fldChar w:fldCharType="separate"/>
      </w:r>
      <w:r>
        <w:rPr>
          <w:rFonts w:hint="eastAsia" w:ascii="仿宋_GB2312" w:eastAsia="仿宋_GB2312"/>
          <w:b w:val="0"/>
        </w:rPr>
        <w:t>3</w:t>
      </w:r>
      <w:r>
        <w:rPr>
          <w:rFonts w:hint="eastAsia" w:ascii="仿宋_GB2312" w:eastAsia="仿宋_GB2312"/>
          <w:b w:val="0"/>
        </w:rPr>
        <w:fldChar w:fldCharType="end"/>
      </w:r>
      <w:r>
        <w:rPr>
          <w:rFonts w:hint="eastAsia" w:ascii="仿宋_GB2312" w:eastAsia="仿宋_GB2312"/>
          <w:b w:val="0"/>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"_Toc74251160" </w:instrText>
      </w:r>
      <w:r>
        <w:fldChar w:fldCharType="separate"/>
      </w:r>
      <w:r>
        <w:rPr>
          <w:rStyle w:val="21"/>
          <w:rFonts w:hint="eastAsia" w:ascii="仿宋_GB2312" w:hAnsi="宋体" w:eastAsia="仿宋_GB2312"/>
          <w:bCs/>
          <w:sz w:val="28"/>
          <w:szCs w:val="28"/>
          <w:lang w:val="en-US" w:eastAsia="zh-CN"/>
        </w:rPr>
        <w:t>6.1 产品检测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_Toc74251160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"_Toc74251161" </w:instrText>
      </w:r>
      <w:r>
        <w:fldChar w:fldCharType="separate"/>
      </w:r>
      <w:r>
        <w:rPr>
          <w:rStyle w:val="21"/>
          <w:rFonts w:hint="eastAsia" w:ascii="仿宋_GB2312" w:hAnsi="宋体" w:eastAsia="仿宋_GB2312"/>
          <w:bCs/>
          <w:sz w:val="28"/>
          <w:szCs w:val="28"/>
          <w:lang w:val="en-US" w:eastAsia="zh-CN"/>
        </w:rPr>
        <w:t>6.2 初始工厂检查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_Toc74251161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"_Toc74251162" </w:instrText>
      </w:r>
      <w:r>
        <w:fldChar w:fldCharType="separate"/>
      </w:r>
      <w:r>
        <w:rPr>
          <w:rStyle w:val="21"/>
          <w:rFonts w:hint="eastAsia" w:ascii="仿宋_GB2312" w:hAnsi="宋体" w:eastAsia="仿宋_GB2312"/>
          <w:bCs/>
          <w:sz w:val="28"/>
          <w:szCs w:val="28"/>
          <w:lang w:val="en-US" w:eastAsia="zh-CN"/>
        </w:rPr>
        <w:t>6.3 认证评价与决定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_Toc74251162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"_Toc74251163" </w:instrText>
      </w:r>
      <w:r>
        <w:fldChar w:fldCharType="separate"/>
      </w:r>
      <w:r>
        <w:rPr>
          <w:rStyle w:val="21"/>
          <w:rFonts w:hint="eastAsia" w:ascii="仿宋_GB2312" w:hAnsi="宋体" w:eastAsia="仿宋_GB2312"/>
          <w:bCs/>
          <w:sz w:val="28"/>
          <w:szCs w:val="28"/>
          <w:lang w:val="en-US" w:eastAsia="zh-CN"/>
        </w:rPr>
        <w:t>6.4 认证时限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_Toc74251163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"_Toc74251164" </w:instrText>
      </w:r>
      <w:r>
        <w:fldChar w:fldCharType="separate"/>
      </w:r>
      <w:r>
        <w:rPr>
          <w:rStyle w:val="21"/>
          <w:rFonts w:hint="eastAsia" w:ascii="仿宋_GB2312" w:eastAsia="仿宋_GB2312"/>
          <w:b w:val="0"/>
        </w:rPr>
        <w:t>7 获证后监督</w:t>
      </w:r>
      <w:bookmarkStart w:id="77" w:name="_GoBack"/>
      <w:bookmarkEnd w:id="77"/>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_Toc74251164 \h </w:instrText>
      </w:r>
      <w:r>
        <w:rPr>
          <w:rFonts w:hint="eastAsia" w:ascii="仿宋_GB2312" w:eastAsia="仿宋_GB2312"/>
          <w:b w:val="0"/>
        </w:rPr>
        <w:fldChar w:fldCharType="separate"/>
      </w:r>
      <w:r>
        <w:rPr>
          <w:rFonts w:hint="eastAsia" w:ascii="仿宋_GB2312" w:eastAsia="仿宋_GB2312"/>
          <w:b w:val="0"/>
        </w:rPr>
        <w:t>5</w:t>
      </w:r>
      <w:r>
        <w:rPr>
          <w:rFonts w:hint="eastAsia" w:ascii="仿宋_GB2312" w:eastAsia="仿宋_GB2312"/>
          <w:b w:val="0"/>
        </w:rPr>
        <w:fldChar w:fldCharType="end"/>
      </w:r>
      <w:r>
        <w:rPr>
          <w:rFonts w:hint="eastAsia" w:ascii="仿宋_GB2312" w:eastAsia="仿宋_GB2312"/>
          <w:b w:val="0"/>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"_Toc74251165" </w:instrText>
      </w:r>
      <w:r>
        <w:fldChar w:fldCharType="separate"/>
      </w:r>
      <w:r>
        <w:rPr>
          <w:rStyle w:val="21"/>
          <w:rFonts w:hint="eastAsia" w:ascii="仿宋_GB2312" w:hAnsi="宋体" w:eastAsia="仿宋_GB2312"/>
          <w:bCs/>
          <w:sz w:val="28"/>
          <w:szCs w:val="28"/>
          <w:lang w:val="en-US" w:eastAsia="zh-CN"/>
        </w:rPr>
        <w:t>7.1 获证后的跟踪检查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_Toc74251165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"_Toc74251166" </w:instrText>
      </w:r>
      <w:r>
        <w:fldChar w:fldCharType="separate"/>
      </w:r>
      <w:r>
        <w:rPr>
          <w:rStyle w:val="21"/>
          <w:rFonts w:hint="eastAsia" w:ascii="仿宋_GB2312" w:hAnsi="宋体" w:eastAsia="仿宋_GB2312"/>
          <w:bCs/>
          <w:sz w:val="28"/>
          <w:szCs w:val="28"/>
          <w:lang w:val="en-US" w:eastAsia="zh-CN"/>
        </w:rPr>
        <w:t>7.2 生产现场抽取样品检测或者检查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_Toc74251166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"_Toc74251167" </w:instrText>
      </w:r>
      <w:r>
        <w:fldChar w:fldCharType="separate"/>
      </w:r>
      <w:r>
        <w:rPr>
          <w:rStyle w:val="21"/>
          <w:rFonts w:hint="eastAsia" w:ascii="仿宋_GB2312" w:hAnsi="宋体" w:eastAsia="仿宋_GB2312"/>
          <w:bCs/>
          <w:sz w:val="28"/>
          <w:szCs w:val="28"/>
        </w:rPr>
        <w:t xml:space="preserve">7.3 </w:t>
      </w:r>
      <w:r>
        <w:rPr>
          <w:rStyle w:val="21"/>
          <w:rFonts w:hint="eastAsia" w:ascii="仿宋_GB2312" w:hAnsi="宋体" w:eastAsia="仿宋_GB2312"/>
          <w:bCs/>
          <w:sz w:val="28"/>
          <w:szCs w:val="28"/>
          <w:lang w:val="en-US" w:eastAsia="zh-CN"/>
        </w:rPr>
        <w:t>市场抽样检测或者检查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_Toc74251167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"_Toc74251168" </w:instrText>
      </w:r>
      <w:r>
        <w:fldChar w:fldCharType="separate"/>
      </w:r>
      <w:r>
        <w:rPr>
          <w:rStyle w:val="21"/>
          <w:rFonts w:hint="eastAsia" w:ascii="仿宋_GB2312" w:eastAsia="仿宋_GB2312"/>
          <w:bCs/>
          <w:sz w:val="28"/>
          <w:szCs w:val="28"/>
        </w:rPr>
        <w:t xml:space="preserve">7.4 </w:t>
      </w:r>
      <w:r>
        <w:rPr>
          <w:rStyle w:val="21"/>
          <w:rFonts w:hint="eastAsia" w:ascii="仿宋_GB2312" w:hAnsi="宋体" w:eastAsia="仿宋_GB2312"/>
          <w:bCs/>
          <w:sz w:val="28"/>
          <w:szCs w:val="28"/>
          <w:lang w:val="en-US" w:eastAsia="zh-CN"/>
        </w:rPr>
        <w:t>获证后监督的频次和时间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_Toc74251168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"_Toc74251169" </w:instrText>
      </w:r>
      <w:r>
        <w:fldChar w:fldCharType="separate"/>
      </w:r>
      <w:r>
        <w:rPr>
          <w:rStyle w:val="21"/>
          <w:rFonts w:hint="eastAsia" w:ascii="仿宋_GB2312" w:eastAsia="仿宋_GB2312"/>
          <w:bCs/>
          <w:sz w:val="28"/>
          <w:szCs w:val="28"/>
        </w:rPr>
        <w:t xml:space="preserve">7.5 </w:t>
      </w:r>
      <w:r>
        <w:rPr>
          <w:rStyle w:val="21"/>
          <w:rFonts w:hint="eastAsia" w:ascii="仿宋_GB2312" w:hAnsi="宋体" w:eastAsia="仿宋_GB2312"/>
          <w:bCs/>
          <w:sz w:val="28"/>
          <w:szCs w:val="28"/>
          <w:lang w:val="en-US" w:eastAsia="zh-CN"/>
        </w:rPr>
        <w:t>获证后监督的记录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_Toc74251169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"_Toc74251170" </w:instrText>
      </w:r>
      <w:r>
        <w:fldChar w:fldCharType="separate"/>
      </w:r>
      <w:r>
        <w:rPr>
          <w:rStyle w:val="21"/>
          <w:rFonts w:hint="eastAsia" w:ascii="仿宋_GB2312" w:hAnsi="宋体" w:eastAsia="仿宋_GB2312"/>
          <w:bCs/>
          <w:sz w:val="28"/>
          <w:szCs w:val="28"/>
          <w:lang w:val="en-US" w:eastAsia="zh-CN"/>
        </w:rPr>
        <w:t>7.6 获证后监督结果的评价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_Toc74251170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"_Toc74251171" </w:instrText>
      </w:r>
      <w:r>
        <w:fldChar w:fldCharType="separate"/>
      </w:r>
      <w:r>
        <w:rPr>
          <w:rStyle w:val="21"/>
          <w:rFonts w:hint="eastAsia" w:ascii="仿宋_GB2312" w:eastAsia="仿宋_GB2312"/>
          <w:b w:val="0"/>
        </w:rPr>
        <w:t>8 认证证书</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_Toc74251171 \h </w:instrText>
      </w:r>
      <w:r>
        <w:rPr>
          <w:rFonts w:hint="eastAsia" w:ascii="仿宋_GB2312" w:eastAsia="仿宋_GB2312"/>
          <w:b w:val="0"/>
        </w:rPr>
        <w:fldChar w:fldCharType="separate"/>
      </w:r>
      <w:r>
        <w:rPr>
          <w:rFonts w:hint="eastAsia" w:ascii="仿宋_GB2312" w:eastAsia="仿宋_GB2312"/>
          <w:b w:val="0"/>
        </w:rPr>
        <w:t>7</w:t>
      </w:r>
      <w:r>
        <w:rPr>
          <w:rFonts w:hint="eastAsia" w:ascii="仿宋_GB2312" w:eastAsia="仿宋_GB2312"/>
          <w:b w:val="0"/>
        </w:rPr>
        <w:fldChar w:fldCharType="end"/>
      </w:r>
      <w:r>
        <w:rPr>
          <w:rFonts w:hint="eastAsia" w:ascii="仿宋_GB2312" w:eastAsia="仿宋_GB2312"/>
          <w:b w:val="0"/>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"_Toc74251172" </w:instrText>
      </w:r>
      <w:r>
        <w:fldChar w:fldCharType="separate"/>
      </w:r>
      <w:r>
        <w:rPr>
          <w:rStyle w:val="21"/>
          <w:rFonts w:hint="eastAsia" w:ascii="仿宋_GB2312" w:hAnsi="宋体" w:eastAsia="仿宋_GB2312"/>
          <w:bCs/>
          <w:sz w:val="28"/>
          <w:szCs w:val="28"/>
          <w:lang w:val="en-US" w:eastAsia="zh-CN"/>
        </w:rPr>
        <w:t>8.1 认证证书的保持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_Toc74251172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"_Toc74251173" </w:instrText>
      </w:r>
      <w:r>
        <w:fldChar w:fldCharType="separate"/>
      </w:r>
      <w:r>
        <w:rPr>
          <w:rStyle w:val="21"/>
          <w:rFonts w:hint="eastAsia" w:ascii="仿宋_GB2312" w:hAnsi="宋体" w:eastAsia="仿宋_GB2312"/>
          <w:bCs/>
          <w:sz w:val="28"/>
          <w:szCs w:val="28"/>
          <w:lang w:val="en-US" w:eastAsia="zh-CN"/>
        </w:rPr>
        <w:t>8.2 认证证书覆盖产品的变更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_Toc74251173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"_Toc74251174" </w:instrText>
      </w:r>
      <w:r>
        <w:fldChar w:fldCharType="separate"/>
      </w:r>
      <w:r>
        <w:rPr>
          <w:rStyle w:val="21"/>
          <w:rFonts w:hint="eastAsia" w:ascii="仿宋_GB2312" w:hAnsi="宋体" w:eastAsia="仿宋_GB2312"/>
          <w:bCs/>
          <w:sz w:val="28"/>
          <w:szCs w:val="28"/>
          <w:lang w:val="en-US" w:eastAsia="zh-CN"/>
        </w:rPr>
        <w:t>8.3 认证证书覆盖产品的扩展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_Toc74251174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"_Toc74251175" </w:instrText>
      </w:r>
      <w:r>
        <w:fldChar w:fldCharType="separate"/>
      </w:r>
      <w:r>
        <w:rPr>
          <w:rStyle w:val="21"/>
          <w:rFonts w:hint="eastAsia" w:ascii="仿宋_GB2312" w:hAnsi="宋体" w:eastAsia="仿宋_GB2312"/>
          <w:bCs/>
          <w:sz w:val="28"/>
          <w:szCs w:val="28"/>
          <w:lang w:val="en-US" w:eastAsia="zh-CN"/>
        </w:rPr>
        <w:t>8.4 认证证书的注销</w:t>
      </w:r>
      <w:r>
        <w:rPr>
          <w:rStyle w:val="21"/>
          <w:rFonts w:hint="eastAsia" w:ascii="仿宋_GB2312" w:hAnsi="宋体" w:eastAsia="仿宋_GB2312"/>
          <w:bCs/>
          <w:sz w:val="28"/>
          <w:szCs w:val="28"/>
        </w:rPr>
        <w:t>、暂停和撤销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_Toc74251175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"_Toc74251176" </w:instrText>
      </w:r>
      <w:r>
        <w:fldChar w:fldCharType="separate"/>
      </w:r>
      <w:r>
        <w:rPr>
          <w:rStyle w:val="21"/>
          <w:rFonts w:hint="eastAsia" w:ascii="仿宋_GB2312" w:hAnsi="宋体" w:eastAsia="仿宋_GB2312"/>
          <w:bCs/>
          <w:sz w:val="28"/>
          <w:szCs w:val="28"/>
          <w:lang w:val="en-US" w:eastAsia="zh-CN"/>
        </w:rPr>
        <w:t>8.5 认证证书的使用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_Toc74251176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"_Toc74251177" </w:instrText>
      </w:r>
      <w:r>
        <w:fldChar w:fldCharType="separate"/>
      </w:r>
      <w:r>
        <w:rPr>
          <w:rStyle w:val="21"/>
          <w:rFonts w:hint="eastAsia" w:ascii="仿宋_GB2312" w:eastAsia="仿宋_GB2312"/>
          <w:b w:val="0"/>
        </w:rPr>
        <w:t>9 认证标志</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_Toc74251177 \h </w:instrText>
      </w:r>
      <w:r>
        <w:rPr>
          <w:rFonts w:hint="eastAsia" w:ascii="仿宋_GB2312" w:eastAsia="仿宋_GB2312"/>
          <w:b w:val="0"/>
        </w:rPr>
        <w:fldChar w:fldCharType="separate"/>
      </w:r>
      <w:r>
        <w:rPr>
          <w:rFonts w:hint="eastAsia" w:ascii="仿宋_GB2312" w:eastAsia="仿宋_GB2312"/>
          <w:b w:val="0"/>
        </w:rPr>
        <w:t>8</w:t>
      </w:r>
      <w:r>
        <w:rPr>
          <w:rFonts w:hint="eastAsia" w:ascii="仿宋_GB2312" w:eastAsia="仿宋_GB2312"/>
          <w:b w:val="0"/>
        </w:rPr>
        <w:fldChar w:fldCharType="end"/>
      </w:r>
      <w:r>
        <w:rPr>
          <w:rFonts w:hint="eastAsia" w:ascii="仿宋_GB2312" w:eastAsia="仿宋_GB2312"/>
          <w:b w:val="0"/>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"_Toc74251178" </w:instrText>
      </w:r>
      <w:r>
        <w:fldChar w:fldCharType="separate"/>
      </w:r>
      <w:r>
        <w:rPr>
          <w:rStyle w:val="21"/>
          <w:rFonts w:hint="eastAsia" w:ascii="仿宋_GB2312" w:hAnsi="宋体" w:eastAsia="仿宋_GB2312"/>
          <w:sz w:val="28"/>
          <w:szCs w:val="28"/>
          <w:lang w:val="en-US" w:eastAsia="zh-CN"/>
        </w:rPr>
        <w:t xml:space="preserve">9.1 </w:t>
      </w:r>
      <w:r>
        <w:rPr>
          <w:rStyle w:val="21"/>
          <w:rFonts w:hint="eastAsia" w:ascii="仿宋_GB2312" w:hAnsi="宋体" w:eastAsia="仿宋_GB2312"/>
          <w:bCs/>
          <w:sz w:val="28"/>
          <w:szCs w:val="28"/>
          <w:lang w:val="en-US" w:eastAsia="zh-CN"/>
        </w:rPr>
        <w:t>准许使用的标志式样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_Toc74251178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rPr>
          <w:rFonts w:hint="eastAsia" w:ascii="仿宋_GB2312" w:eastAsia="仿宋_GB2312" w:hAnsiTheme="minorHAnsi" w:cstheme="minorBidi"/>
          <w:smallCaps w:val="0"/>
          <w:color w:val="auto"/>
          <w:kern w:val="2"/>
          <w:sz w:val="28"/>
          <w:szCs w:val="28"/>
          <w:lang w:val="en-US" w:eastAsia="zh-CN"/>
        </w:rPr>
      </w:pPr>
      <w:r>
        <w:fldChar w:fldCharType="begin"/>
      </w:r>
      <w:r>
        <w:instrText xml:space="preserve"> HYPERLINK \l "_Toc74251179" </w:instrText>
      </w:r>
      <w:r>
        <w:fldChar w:fldCharType="separate"/>
      </w:r>
      <w:r>
        <w:rPr>
          <w:rStyle w:val="21"/>
          <w:rFonts w:hint="eastAsia" w:ascii="仿宋_GB2312" w:hAnsi="宋体" w:eastAsia="仿宋_GB2312"/>
          <w:sz w:val="28"/>
          <w:szCs w:val="28"/>
          <w:lang w:val="en-US" w:eastAsia="zh-CN"/>
        </w:rPr>
        <w:t>9.2 标注方式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_Toc74251179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"_Toc74251180" </w:instrText>
      </w:r>
      <w:r>
        <w:fldChar w:fldCharType="separate"/>
      </w:r>
      <w:r>
        <w:rPr>
          <w:rStyle w:val="21"/>
          <w:rFonts w:hint="eastAsia" w:ascii="仿宋_GB2312" w:eastAsia="仿宋_GB2312"/>
          <w:b w:val="0"/>
        </w:rPr>
        <w:t>1</w:t>
      </w:r>
      <w:r>
        <w:rPr>
          <w:rStyle w:val="21"/>
          <w:rFonts w:hint="eastAsia" w:ascii="仿宋_GB2312" w:eastAsia="仿宋_GB2312"/>
          <w:b w:val="0"/>
          <w:lang w:eastAsia="zh-CN"/>
        </w:rPr>
        <w:t>0</w:t>
      </w:r>
      <w:r>
        <w:rPr>
          <w:rStyle w:val="21"/>
          <w:rFonts w:hint="eastAsia" w:ascii="仿宋_GB2312" w:eastAsia="仿宋_GB2312"/>
          <w:b w:val="0"/>
        </w:rPr>
        <w:t xml:space="preserve"> 收费</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_Toc74251180 \h </w:instrText>
      </w:r>
      <w:r>
        <w:rPr>
          <w:rFonts w:hint="eastAsia" w:ascii="仿宋_GB2312" w:eastAsia="仿宋_GB2312"/>
          <w:b w:val="0"/>
        </w:rPr>
        <w:fldChar w:fldCharType="separate"/>
      </w:r>
      <w:r>
        <w:rPr>
          <w:rFonts w:hint="eastAsia" w:ascii="仿宋_GB2312" w:eastAsia="仿宋_GB2312"/>
          <w:b w:val="0"/>
        </w:rPr>
        <w:t>8</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"_Toc74251181" </w:instrText>
      </w:r>
      <w:r>
        <w:fldChar w:fldCharType="separate"/>
      </w:r>
      <w:r>
        <w:rPr>
          <w:rStyle w:val="21"/>
          <w:rFonts w:hint="eastAsia" w:ascii="仿宋_GB2312" w:eastAsia="仿宋_GB2312"/>
          <w:b w:val="0"/>
        </w:rPr>
        <w:t>11 认证责任</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_Toc74251181 \h </w:instrText>
      </w:r>
      <w:r>
        <w:rPr>
          <w:rFonts w:hint="eastAsia" w:ascii="仿宋_GB2312" w:eastAsia="仿宋_GB2312"/>
          <w:b w:val="0"/>
        </w:rPr>
        <w:fldChar w:fldCharType="separate"/>
      </w:r>
      <w:r>
        <w:rPr>
          <w:rFonts w:hint="eastAsia" w:ascii="仿宋_GB2312" w:eastAsia="仿宋_GB2312"/>
          <w:b w:val="0"/>
        </w:rPr>
        <w:t>8</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"_Toc74251182" </w:instrText>
      </w:r>
      <w:r>
        <w:fldChar w:fldCharType="separate"/>
      </w:r>
      <w:r>
        <w:rPr>
          <w:rStyle w:val="21"/>
          <w:rFonts w:hint="eastAsia" w:ascii="仿宋_GB2312" w:eastAsia="仿宋_GB2312"/>
          <w:b w:val="0"/>
        </w:rPr>
        <w:t>12 认证实施细则</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_Toc74251182 \h </w:instrText>
      </w:r>
      <w:r>
        <w:rPr>
          <w:rFonts w:hint="eastAsia" w:ascii="仿宋_GB2312" w:eastAsia="仿宋_GB2312"/>
          <w:b w:val="0"/>
        </w:rPr>
        <w:fldChar w:fldCharType="separate"/>
      </w:r>
      <w:r>
        <w:rPr>
          <w:rFonts w:hint="eastAsia" w:ascii="仿宋_GB2312" w:eastAsia="仿宋_GB2312"/>
          <w:b w:val="0"/>
        </w:rPr>
        <w:t>9</w:t>
      </w:r>
      <w:r>
        <w:rPr>
          <w:rFonts w:hint="eastAsia" w:ascii="仿宋_GB2312" w:eastAsia="仿宋_GB2312"/>
          <w:b w:val="0"/>
        </w:rPr>
        <w:fldChar w:fldCharType="end"/>
      </w:r>
      <w:r>
        <w:rPr>
          <w:rFonts w:hint="eastAsia" w:ascii="仿宋_GB2312" w:eastAsia="仿宋_GB2312"/>
          <w:b w:val="0"/>
        </w:rPr>
        <w:fldChar w:fldCharType="end"/>
      </w:r>
    </w:p>
    <w:p>
      <w:pPr>
        <w:pStyle w:val="15"/>
        <w:rPr>
          <w:rFonts w:hint="eastAsia" w:ascii="仿宋_GB2312" w:eastAsia="仿宋_GB2312" w:hAnsiTheme="minorHAnsi" w:cstheme="minorBidi"/>
          <w:b w:val="0"/>
          <w:bCs w:val="0"/>
          <w:caps w:val="0"/>
          <w:color w:val="auto"/>
          <w:kern w:val="2"/>
          <w:lang w:val="en-US" w:eastAsia="zh-CN"/>
        </w:rPr>
      </w:pPr>
      <w:r>
        <w:fldChar w:fldCharType="begin"/>
      </w:r>
      <w:r>
        <w:instrText xml:space="preserve"> HYPERLINK \l "_Toc74251183" </w:instrText>
      </w:r>
      <w:r>
        <w:fldChar w:fldCharType="separate"/>
      </w:r>
      <w:r>
        <w:rPr>
          <w:rStyle w:val="21"/>
          <w:rFonts w:hint="eastAsia" w:ascii="仿宋_GB2312" w:hAnsi="黑体" w:eastAsia="仿宋_GB2312"/>
          <w:b w:val="0"/>
        </w:rPr>
        <w:t>附件</w:t>
      </w:r>
      <w:r>
        <w:rPr>
          <w:rFonts w:hint="eastAsia" w:ascii="仿宋_GB2312" w:eastAsia="仿宋_GB2312"/>
          <w:b w:val="0"/>
        </w:rPr>
        <w:tab/>
      </w:r>
      <w:r>
        <w:rPr>
          <w:rFonts w:hint="eastAsia" w:ascii="仿宋_GB2312" w:eastAsia="仿宋_GB2312"/>
          <w:b w:val="0"/>
        </w:rPr>
        <w:fldChar w:fldCharType="begin"/>
      </w:r>
      <w:r>
        <w:rPr>
          <w:rFonts w:hint="eastAsia" w:ascii="仿宋_GB2312" w:eastAsia="仿宋_GB2312"/>
          <w:b w:val="0"/>
        </w:rPr>
        <w:instrText xml:space="preserve"> PAGEREF _Toc74251183 \h </w:instrText>
      </w:r>
      <w:r>
        <w:rPr>
          <w:rFonts w:hint="eastAsia" w:ascii="仿宋_GB2312" w:eastAsia="仿宋_GB2312"/>
          <w:b w:val="0"/>
        </w:rPr>
        <w:fldChar w:fldCharType="separate"/>
      </w:r>
      <w:r>
        <w:rPr>
          <w:rFonts w:hint="eastAsia" w:ascii="仿宋_GB2312" w:eastAsia="仿宋_GB2312"/>
          <w:b w:val="0"/>
        </w:rPr>
        <w:t>10</w:t>
      </w:r>
      <w:r>
        <w:rPr>
          <w:rFonts w:hint="eastAsia" w:ascii="仿宋_GB2312" w:eastAsia="仿宋_GB2312"/>
          <w:b w:val="0"/>
        </w:rPr>
        <w:fldChar w:fldCharType="end"/>
      </w:r>
      <w:r>
        <w:rPr>
          <w:rFonts w:hint="eastAsia" w:ascii="仿宋_GB2312" w:eastAsia="仿宋_GB2312"/>
          <w:b w:val="0"/>
        </w:rPr>
        <w:fldChar w:fldCharType="end"/>
      </w:r>
    </w:p>
    <w:p>
      <w:pPr>
        <w:sectPr>
          <w:footerReference r:id="rId5" w:type="default"/>
          <w:pgSz w:w="11909" w:h="16838"/>
          <w:pgMar w:top="1440" w:right="1797" w:bottom="1440" w:left="1797" w:header="1134" w:footer="1134" w:gutter="0"/>
          <w:pgNumType w:start="1"/>
          <w:cols w:space="720" w:num="1"/>
          <w:docGrid w:linePitch="360" w:charSpace="0"/>
        </w:sectPr>
      </w:pPr>
      <w:r>
        <w:rPr>
          <w:rFonts w:hint="eastAsia" w:ascii="仿宋_GB2312" w:eastAsia="仿宋_GB2312"/>
          <w:b w:val="0"/>
        </w:rPr>
        <w:fldChar w:fldCharType="end"/>
      </w:r>
    </w:p>
    <w:p>
      <w:pPr>
        <w:pStyle w:val="2"/>
        <w:spacing w:before="0" w:after="0" w:line="480" w:lineRule="exact"/>
        <w:jc w:val="both"/>
        <w:rPr>
          <w:rFonts w:hint="eastAsia" w:ascii="仿宋_GB2312" w:eastAsia="仿宋_GB2312"/>
        </w:rPr>
      </w:pPr>
      <w:bookmarkStart w:id="8" w:name="_Toc74251150"/>
      <w:r>
        <w:rPr>
          <w:rFonts w:hint="eastAsia" w:ascii="仿宋_GB2312" w:eastAsia="仿宋_GB2312"/>
        </w:rPr>
        <w:t>0 引言</w:t>
      </w:r>
      <w:bookmarkEnd w:id="8"/>
    </w:p>
    <w:p>
      <w:pPr>
        <w:pStyle w:val="8"/>
        <w:shd w:val="clear" w:color="auto" w:fill="auto"/>
        <w:spacing w:before="0" w:line="480" w:lineRule="exact"/>
        <w:ind w:firstLine="560" w:firstLineChars="200"/>
        <w:jc w:val="both"/>
        <w:rPr>
          <w:rFonts w:ascii="仿宋_GB2312" w:hAnsi="宋体" w:eastAsia="仿宋_GB2312" w:cs="Courier New"/>
          <w:spacing w:val="0"/>
          <w:sz w:val="28"/>
          <w:szCs w:val="28"/>
        </w:rPr>
      </w:pPr>
      <w:r>
        <w:rPr>
          <w:rStyle w:val="58"/>
          <w:rFonts w:hint="eastAsia" w:ascii="仿宋_GB2312" w:hAnsi="宋体" w:eastAsia="仿宋_GB2312" w:cs="方正仿宋简体"/>
          <w:color w:val="000000"/>
          <w:spacing w:val="0"/>
          <w:sz w:val="28"/>
          <w:szCs w:val="28"/>
          <w:lang w:val="zh-TW" w:eastAsia="zh-TW"/>
        </w:rPr>
        <w:t>本规则基于家用燃气</w:t>
      </w:r>
      <w:r>
        <w:rPr>
          <w:rStyle w:val="58"/>
          <w:rFonts w:hint="eastAsia" w:ascii="仿宋_GB2312" w:hAnsi="宋体" w:eastAsia="仿宋_GB2312" w:cs="方正仿宋简体"/>
          <w:color w:val="000000"/>
          <w:spacing w:val="0"/>
          <w:sz w:val="28"/>
          <w:szCs w:val="28"/>
          <w:lang w:val="zh-TW"/>
        </w:rPr>
        <w:t>器</w:t>
      </w:r>
      <w:r>
        <w:rPr>
          <w:rStyle w:val="58"/>
          <w:rFonts w:hint="eastAsia" w:ascii="仿宋_GB2312" w:hAnsi="宋体" w:eastAsia="仿宋_GB2312" w:cs="方正仿宋简体"/>
          <w:color w:val="000000"/>
          <w:spacing w:val="0"/>
          <w:sz w:val="28"/>
          <w:szCs w:val="28"/>
          <w:lang w:val="zh-TW" w:eastAsia="zh-TW"/>
        </w:rPr>
        <w:t>具产品的安全风险和认证风险制定，规定了家用燃气</w:t>
      </w:r>
      <w:r>
        <w:rPr>
          <w:rStyle w:val="58"/>
          <w:rFonts w:hint="eastAsia" w:ascii="仿宋_GB2312" w:hAnsi="宋体" w:eastAsia="仿宋_GB2312" w:cs="方正仿宋简体"/>
          <w:color w:val="000000"/>
          <w:spacing w:val="0"/>
          <w:sz w:val="28"/>
          <w:szCs w:val="28"/>
          <w:lang w:val="zh-TW"/>
        </w:rPr>
        <w:t>器</w:t>
      </w:r>
      <w:r>
        <w:rPr>
          <w:rStyle w:val="58"/>
          <w:rFonts w:hint="eastAsia" w:ascii="仿宋_GB2312" w:hAnsi="宋体" w:eastAsia="仿宋_GB2312" w:cs="方正仿宋简体"/>
          <w:color w:val="000000"/>
          <w:spacing w:val="0"/>
          <w:sz w:val="28"/>
          <w:szCs w:val="28"/>
          <w:lang w:val="zh-TW" w:eastAsia="zh-TW"/>
        </w:rPr>
        <w:t>具产品实施强制性产品认证的基本原则和要求。</w:t>
      </w:r>
    </w:p>
    <w:p>
      <w:pPr>
        <w:spacing w:line="480" w:lineRule="exact"/>
        <w:ind w:firstLine="560"/>
        <w:jc w:val="both"/>
        <w:rPr>
          <w:rFonts w:ascii="仿宋_GB2312" w:eastAsia="仿宋_GB2312"/>
          <w:sz w:val="28"/>
          <w:szCs w:val="28"/>
        </w:rPr>
      </w:pPr>
      <w:bookmarkStart w:id="9" w:name="bookmark4"/>
      <w:r>
        <w:rPr>
          <w:rFonts w:hint="eastAsia" w:ascii="仿宋_GB2312" w:eastAsia="仿宋_GB2312"/>
          <w:sz w:val="28"/>
          <w:szCs w:val="28"/>
        </w:rPr>
        <w:t>本规则与认监委发布的《强制性产品认证实施规则  生产企业分类管理、认证模式选择与确定》《强制性产品认证实施规则  生产企业检测资源及其他认证结果的利用》《强制性产品认证实施规则工厂质量保证能力要求》《强制性产品认证实施规则 工厂检查通用要求》等通用实施规则配套使用。</w:t>
      </w:r>
    </w:p>
    <w:p>
      <w:pPr>
        <w:pStyle w:val="8"/>
        <w:shd w:val="clear" w:color="auto" w:fill="auto"/>
        <w:spacing w:before="0" w:line="480" w:lineRule="exact"/>
        <w:ind w:firstLine="560" w:firstLineChars="200"/>
        <w:jc w:val="both"/>
        <w:rPr>
          <w:rStyle w:val="58"/>
          <w:rFonts w:ascii="仿宋_GB2312" w:hAnsi="宋体" w:eastAsia="仿宋_GB2312" w:cs="Courier New"/>
          <w:color w:val="000000"/>
          <w:spacing w:val="0"/>
          <w:sz w:val="28"/>
          <w:szCs w:val="28"/>
          <w:lang w:val="zh-TW" w:eastAsia="zh-TW"/>
        </w:rPr>
      </w:pPr>
      <w:r>
        <w:rPr>
          <w:rStyle w:val="58"/>
          <w:rFonts w:hint="eastAsia" w:ascii="仿宋_GB2312" w:hAnsi="宋体" w:eastAsia="仿宋_GB2312" w:cs="方正仿宋简体"/>
          <w:color w:val="000000"/>
          <w:spacing w:val="0"/>
          <w:sz w:val="28"/>
          <w:szCs w:val="28"/>
          <w:lang w:val="zh-TW" w:eastAsia="zh-TW"/>
        </w:rPr>
        <w:t>认证机构应依据通用实施</w:t>
      </w:r>
      <w:r>
        <w:rPr>
          <w:rStyle w:val="58"/>
          <w:rFonts w:hint="eastAsia" w:ascii="仿宋_GB2312" w:hAnsi="宋体" w:eastAsia="仿宋_GB2312" w:cs="方正仿宋简体"/>
          <w:color w:val="000000"/>
          <w:spacing w:val="0"/>
          <w:sz w:val="28"/>
          <w:szCs w:val="28"/>
          <w:lang w:val="zh-TW"/>
        </w:rPr>
        <w:t>规则</w:t>
      </w:r>
      <w:r>
        <w:rPr>
          <w:rStyle w:val="58"/>
          <w:rFonts w:hint="eastAsia" w:ascii="仿宋_GB2312" w:hAnsi="宋体" w:eastAsia="仿宋_GB2312" w:cs="方正仿宋简体"/>
          <w:color w:val="000000"/>
          <w:spacing w:val="0"/>
          <w:sz w:val="28"/>
          <w:szCs w:val="28"/>
          <w:lang w:val="zh-TW" w:eastAsia="zh-TW"/>
        </w:rPr>
        <w:t>和本规则要求编制认证实施细则</w:t>
      </w:r>
      <w:r>
        <w:rPr>
          <w:rStyle w:val="58"/>
          <w:rFonts w:hint="eastAsia" w:ascii="仿宋_GB2312" w:hAnsi="宋体" w:eastAsia="仿宋_GB2312" w:cs="方正仿宋简体"/>
          <w:color w:val="000000"/>
          <w:spacing w:val="0"/>
          <w:sz w:val="28"/>
          <w:szCs w:val="28"/>
        </w:rPr>
        <w:t>，</w:t>
      </w:r>
      <w:r>
        <w:rPr>
          <w:rStyle w:val="58"/>
          <w:rFonts w:hint="eastAsia" w:ascii="仿宋_GB2312" w:hAnsi="宋体" w:eastAsia="仿宋_GB2312" w:cs="方正仿宋简体"/>
          <w:color w:val="000000"/>
          <w:spacing w:val="0"/>
          <w:sz w:val="28"/>
          <w:szCs w:val="28"/>
          <w:lang w:val="zh-TW" w:eastAsia="zh-TW"/>
        </w:rPr>
        <w:t>并配套通用实施规则和本规则共同实施。</w:t>
      </w:r>
      <w:bookmarkEnd w:id="9"/>
    </w:p>
    <w:p>
      <w:pPr>
        <w:pStyle w:val="8"/>
        <w:shd w:val="clear" w:color="auto" w:fill="auto"/>
        <w:spacing w:before="0" w:line="480" w:lineRule="exact"/>
        <w:ind w:firstLine="560" w:firstLineChars="200"/>
        <w:jc w:val="both"/>
        <w:rPr>
          <w:rFonts w:ascii="仿宋_GB2312" w:hAnsi="宋体" w:eastAsia="仿宋_GB2312" w:cs="方正仿宋简体"/>
          <w:color w:val="000000"/>
          <w:sz w:val="28"/>
          <w:szCs w:val="28"/>
        </w:rPr>
      </w:pPr>
      <w:r>
        <w:rPr>
          <w:rStyle w:val="58"/>
          <w:rFonts w:hint="eastAsia" w:ascii="仿宋_GB2312" w:eastAsia="仿宋_GB2312" w:cs="方正仿宋简体"/>
          <w:spacing w:val="0"/>
          <w:sz w:val="28"/>
          <w:szCs w:val="28"/>
          <w:lang w:val="zh-TW" w:eastAsia="zh-TW"/>
        </w:rPr>
        <w:t>生产企业应确保所生产的获证产品能够持续符合认证要求</w:t>
      </w:r>
      <w:r>
        <w:rPr>
          <w:rFonts w:hint="eastAsia" w:ascii="仿宋_GB2312" w:hAnsi="宋体" w:eastAsia="仿宋_GB2312" w:cs="方正仿宋简体"/>
          <w:color w:val="000000"/>
          <w:sz w:val="28"/>
          <w:szCs w:val="28"/>
        </w:rPr>
        <w:t>。</w:t>
      </w:r>
    </w:p>
    <w:p>
      <w:pPr>
        <w:pStyle w:val="2"/>
        <w:spacing w:before="0" w:after="0" w:line="480" w:lineRule="exact"/>
        <w:jc w:val="both"/>
        <w:rPr>
          <w:rFonts w:ascii="仿宋_GB2312" w:eastAsia="仿宋_GB2312" w:cs="Courier New"/>
        </w:rPr>
      </w:pPr>
      <w:bookmarkStart w:id="10" w:name="_Toc74251151"/>
      <w:r>
        <w:rPr>
          <w:rFonts w:hint="eastAsia" w:ascii="仿宋_GB2312" w:eastAsia="仿宋_GB2312"/>
        </w:rPr>
        <w:t>1</w:t>
      </w:r>
      <w:r>
        <w:rPr>
          <w:rFonts w:ascii="仿宋_GB2312" w:eastAsia="PMingLiU"/>
        </w:rPr>
        <w:t xml:space="preserve"> </w:t>
      </w:r>
      <w:r>
        <w:rPr>
          <w:rFonts w:hint="eastAsia" w:ascii="仿宋_GB2312" w:eastAsia="仿宋_GB2312"/>
        </w:rPr>
        <w:t>适用范围</w:t>
      </w:r>
      <w:bookmarkEnd w:id="10"/>
    </w:p>
    <w:p>
      <w:pPr>
        <w:spacing w:line="480" w:lineRule="exact"/>
        <w:ind w:firstLine="560" w:firstLineChars="200"/>
        <w:jc w:val="both"/>
        <w:rPr>
          <w:rStyle w:val="58"/>
          <w:rFonts w:ascii="仿宋_GB2312" w:eastAsia="仿宋_GB2312" w:cs="Courier New"/>
          <w:spacing w:val="0"/>
          <w:sz w:val="28"/>
          <w:szCs w:val="28"/>
        </w:rPr>
      </w:pPr>
      <w:r>
        <w:rPr>
          <w:rStyle w:val="58"/>
          <w:rFonts w:hint="eastAsia" w:ascii="仿宋_GB2312" w:hAnsi="宋体" w:eastAsia="仿宋_GB2312" w:cs="方正仿宋简体"/>
          <w:spacing w:val="0"/>
          <w:sz w:val="28"/>
          <w:szCs w:val="28"/>
        </w:rPr>
        <w:t>本规则适用于家用燃气灶</w:t>
      </w:r>
      <w:r>
        <w:rPr>
          <w:rStyle w:val="58"/>
          <w:rFonts w:hint="eastAsia" w:ascii="仿宋_GB2312" w:hAnsi="宋体" w:eastAsia="仿宋_GB2312" w:cs="方正仿宋简体"/>
          <w:spacing w:val="0"/>
          <w:sz w:val="28"/>
          <w:szCs w:val="28"/>
          <w:lang w:eastAsia="zh-CN"/>
        </w:rPr>
        <w:t>具</w:t>
      </w:r>
      <w:r>
        <w:rPr>
          <w:rStyle w:val="58"/>
          <w:rFonts w:hint="eastAsia" w:ascii="仿宋_GB2312" w:hAnsi="宋体" w:eastAsia="仿宋_GB2312" w:cs="方正仿宋简体"/>
          <w:spacing w:val="0"/>
          <w:sz w:val="28"/>
          <w:szCs w:val="28"/>
        </w:rPr>
        <w:t>、家用燃气快速热水器（家用供热水燃气快速热水器）和燃气采暖热水炉。</w:t>
      </w:r>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eastAsia="zh-TW"/>
        </w:rPr>
      </w:pPr>
      <w:bookmarkStart w:id="11" w:name="bookmark5"/>
      <w:r>
        <w:rPr>
          <w:rStyle w:val="58"/>
          <w:rFonts w:hint="eastAsia" w:ascii="仿宋_GB2312" w:hAnsi="宋体" w:eastAsia="仿宋_GB2312" w:cs="方正仿宋简体"/>
          <w:color w:val="000000"/>
          <w:spacing w:val="0"/>
          <w:sz w:val="28"/>
          <w:szCs w:val="28"/>
          <w:lang w:val="zh-TW" w:eastAsia="zh-TW"/>
        </w:rPr>
        <w:t>由于法律法规或相关产品标准、技术、产业政策等因素发生变化所引起的适用范围调整，应以认监委发布的公告为准。</w:t>
      </w:r>
      <w:bookmarkEnd w:id="11"/>
    </w:p>
    <w:p>
      <w:pPr>
        <w:pStyle w:val="2"/>
        <w:spacing w:before="0" w:after="120" w:afterLines="50" w:line="480" w:lineRule="exact"/>
        <w:jc w:val="both"/>
        <w:rPr>
          <w:rStyle w:val="55"/>
          <w:rFonts w:ascii="仿宋_GB2312" w:hAnsi="Courier New" w:eastAsia="仿宋_GB2312" w:cs="Courier New"/>
          <w:b/>
          <w:bCs/>
          <w:sz w:val="28"/>
          <w:szCs w:val="28"/>
        </w:rPr>
      </w:pPr>
      <w:bookmarkStart w:id="12" w:name="_Toc74251152"/>
      <w:r>
        <w:rPr>
          <w:rStyle w:val="55"/>
          <w:rFonts w:hint="eastAsia" w:ascii="仿宋_GB2312" w:hAnsi="Courier New" w:eastAsia="仿宋_GB2312" w:cs="方正仿宋简体"/>
          <w:b/>
          <w:bCs/>
          <w:sz w:val="28"/>
          <w:szCs w:val="28"/>
        </w:rPr>
        <w:t>2</w:t>
      </w:r>
      <w:r>
        <w:rPr>
          <w:rStyle w:val="55"/>
          <w:rFonts w:ascii="仿宋_GB2312" w:hAnsi="Courier New" w:eastAsia="PMingLiU" w:cs="方正仿宋简体"/>
          <w:b/>
          <w:bCs/>
          <w:sz w:val="28"/>
          <w:szCs w:val="28"/>
        </w:rPr>
        <w:t xml:space="preserve"> </w:t>
      </w:r>
      <w:r>
        <w:rPr>
          <w:rFonts w:hint="eastAsia" w:ascii="仿宋_GB2312" w:eastAsia="仿宋_GB2312"/>
        </w:rPr>
        <w:t>认证依据标准</w:t>
      </w:r>
      <w:bookmarkEnd w:id="12"/>
    </w:p>
    <w:tbl>
      <w:tblPr>
        <w:tblStyle w:val="24"/>
        <w:tblW w:w="7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026"/>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黑体" w:eastAsia="仿宋_GB2312"/>
                <w:b/>
                <w:bCs/>
                <w:sz w:val="21"/>
                <w:szCs w:val="21"/>
              </w:rPr>
            </w:pPr>
            <w:r>
              <w:rPr>
                <w:rFonts w:hint="eastAsia" w:ascii="仿宋_GB2312" w:hAnsi="黑体" w:eastAsia="仿宋_GB2312" w:cs="方正仿宋简体"/>
                <w:b/>
                <w:bCs/>
                <w:sz w:val="21"/>
                <w:szCs w:val="21"/>
              </w:rPr>
              <w:t>序号</w:t>
            </w:r>
          </w:p>
        </w:tc>
        <w:tc>
          <w:tcPr>
            <w:tcW w:w="3026" w:type="dxa"/>
            <w:vAlign w:val="center"/>
          </w:tcPr>
          <w:p>
            <w:pPr>
              <w:snapToGrid w:val="0"/>
              <w:jc w:val="center"/>
              <w:rPr>
                <w:rFonts w:ascii="仿宋_GB2312" w:hAnsi="黑体" w:eastAsia="仿宋_GB2312"/>
                <w:b/>
                <w:bCs/>
                <w:sz w:val="21"/>
                <w:szCs w:val="21"/>
              </w:rPr>
            </w:pPr>
            <w:r>
              <w:rPr>
                <w:rFonts w:hint="eastAsia" w:ascii="仿宋_GB2312" w:hAnsi="黑体" w:eastAsia="仿宋_GB2312" w:cs="方正仿宋简体"/>
                <w:b/>
                <w:bCs/>
                <w:sz w:val="21"/>
                <w:szCs w:val="21"/>
              </w:rPr>
              <w:t>产品种类</w:t>
            </w:r>
          </w:p>
        </w:tc>
        <w:tc>
          <w:tcPr>
            <w:tcW w:w="3069" w:type="dxa"/>
            <w:vAlign w:val="center"/>
          </w:tcPr>
          <w:p>
            <w:pPr>
              <w:snapToGrid w:val="0"/>
              <w:jc w:val="center"/>
              <w:rPr>
                <w:rFonts w:ascii="仿宋_GB2312" w:hAnsi="黑体" w:eastAsia="仿宋_GB2312"/>
                <w:b/>
                <w:bCs/>
                <w:sz w:val="21"/>
                <w:szCs w:val="21"/>
              </w:rPr>
            </w:pPr>
            <w:r>
              <w:rPr>
                <w:rFonts w:hint="eastAsia" w:ascii="仿宋_GB2312" w:hAnsi="黑体" w:eastAsia="仿宋_GB2312" w:cs="方正仿宋简体"/>
                <w:b/>
                <w:bCs/>
                <w:sz w:val="21"/>
                <w:szCs w:val="21"/>
              </w:rPr>
              <w:t>认证依据标准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宋体" w:eastAsia="仿宋_GB2312"/>
                <w:sz w:val="21"/>
                <w:szCs w:val="21"/>
              </w:rPr>
            </w:pPr>
            <w:r>
              <w:rPr>
                <w:rFonts w:hint="eastAsia" w:ascii="仿宋_GB2312" w:hAnsi="宋体" w:eastAsia="仿宋_GB2312" w:cs="方正仿宋简体"/>
                <w:sz w:val="21"/>
                <w:szCs w:val="21"/>
                <w:lang w:eastAsia="zh-CN"/>
              </w:rPr>
              <w:t>1</w:t>
            </w:r>
          </w:p>
        </w:tc>
        <w:tc>
          <w:tcPr>
            <w:tcW w:w="3026" w:type="dxa"/>
            <w:vAlign w:val="center"/>
          </w:tcPr>
          <w:p>
            <w:pPr>
              <w:snapToGrid w:val="0"/>
              <w:jc w:val="center"/>
              <w:rPr>
                <w:rFonts w:ascii="仿宋_GB2312" w:hAnsi="宋体" w:eastAsia="仿宋_GB2312"/>
                <w:sz w:val="21"/>
                <w:szCs w:val="21"/>
                <w:lang w:eastAsia="zh-CN"/>
              </w:rPr>
            </w:pPr>
            <w:r>
              <w:rPr>
                <w:rFonts w:hint="eastAsia" w:ascii="仿宋_GB2312" w:hAnsi="宋体" w:eastAsia="仿宋_GB2312" w:cs="方正仿宋简体"/>
                <w:sz w:val="21"/>
                <w:szCs w:val="21"/>
              </w:rPr>
              <w:t>家用燃气灶</w:t>
            </w:r>
            <w:r>
              <w:rPr>
                <w:rFonts w:hint="eastAsia" w:ascii="仿宋_GB2312" w:hAnsi="宋体" w:eastAsia="仿宋_GB2312" w:cs="方正仿宋简体"/>
                <w:sz w:val="21"/>
                <w:szCs w:val="21"/>
                <w:lang w:eastAsia="zh-CN"/>
              </w:rPr>
              <w:t>具</w:t>
            </w:r>
          </w:p>
        </w:tc>
        <w:tc>
          <w:tcPr>
            <w:tcW w:w="3069" w:type="dxa"/>
            <w:vAlign w:val="center"/>
          </w:tcPr>
          <w:p>
            <w:pPr>
              <w:snapToGrid w:val="0"/>
              <w:jc w:val="center"/>
              <w:rPr>
                <w:rFonts w:ascii="仿宋_GB2312" w:hAnsi="宋体" w:eastAsia="仿宋_GB2312"/>
                <w:sz w:val="21"/>
                <w:szCs w:val="21"/>
                <w:lang w:eastAsia="zh-CN"/>
              </w:rPr>
            </w:pPr>
            <w:r>
              <w:rPr>
                <w:rFonts w:hint="eastAsia" w:ascii="仿宋_GB2312" w:hAnsi="宋体" w:eastAsia="仿宋_GB2312" w:cs="方正仿宋简体"/>
                <w:sz w:val="21"/>
                <w:szCs w:val="21"/>
              </w:rPr>
              <w:t>GB</w:t>
            </w:r>
            <w:r>
              <w:rPr>
                <w:rFonts w:hint="eastAsia" w:ascii="仿宋_GB2312" w:hAnsi="宋体" w:eastAsia="仿宋_GB2312" w:cs="方正仿宋简体"/>
                <w:sz w:val="21"/>
                <w:szCs w:val="21"/>
                <w:lang w:eastAsia="zh-CN"/>
              </w:rPr>
              <w:t xml:space="preserve"> </w:t>
            </w:r>
            <w:r>
              <w:rPr>
                <w:rFonts w:hint="eastAsia" w:ascii="仿宋_GB2312" w:hAnsi="宋体" w:eastAsia="仿宋_GB2312" w:cs="方正仿宋简体"/>
                <w:sz w:val="21"/>
                <w:szCs w:val="21"/>
              </w:rPr>
              <w:t>16410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宋体" w:eastAsia="仿宋_GB2312" w:cs="方正仿宋简体"/>
                <w:sz w:val="21"/>
                <w:szCs w:val="21"/>
              </w:rPr>
            </w:pPr>
            <w:r>
              <w:rPr>
                <w:rFonts w:hint="eastAsia" w:ascii="仿宋_GB2312" w:hAnsi="宋体" w:eastAsia="仿宋_GB2312" w:cs="方正仿宋简体"/>
                <w:sz w:val="21"/>
                <w:szCs w:val="21"/>
              </w:rPr>
              <w:t>2</w:t>
            </w:r>
          </w:p>
        </w:tc>
        <w:tc>
          <w:tcPr>
            <w:tcW w:w="3026" w:type="dxa"/>
            <w:vAlign w:val="center"/>
          </w:tcPr>
          <w:p>
            <w:pPr>
              <w:snapToGrid w:val="0"/>
              <w:jc w:val="center"/>
              <w:rPr>
                <w:rFonts w:ascii="仿宋_GB2312" w:hAnsi="宋体" w:eastAsia="仿宋_GB2312"/>
                <w:sz w:val="21"/>
                <w:szCs w:val="21"/>
              </w:rPr>
            </w:pPr>
            <w:r>
              <w:rPr>
                <w:rFonts w:hint="eastAsia" w:ascii="仿宋_GB2312" w:hAnsi="宋体" w:eastAsia="仿宋_GB2312" w:cs="方正仿宋简体"/>
                <w:sz w:val="21"/>
                <w:szCs w:val="21"/>
              </w:rPr>
              <w:t>家用燃气快速热水器（家用供热水燃气快速热水器）</w:t>
            </w:r>
          </w:p>
        </w:tc>
        <w:tc>
          <w:tcPr>
            <w:tcW w:w="3069" w:type="dxa"/>
            <w:vAlign w:val="center"/>
          </w:tcPr>
          <w:p>
            <w:pPr>
              <w:snapToGrid w:val="0"/>
              <w:jc w:val="center"/>
              <w:rPr>
                <w:rFonts w:ascii="仿宋_GB2312" w:hAnsi="宋体" w:eastAsia="仿宋_GB2312" w:cs="方正仿宋简体"/>
                <w:sz w:val="21"/>
                <w:szCs w:val="21"/>
              </w:rPr>
            </w:pPr>
            <w:r>
              <w:rPr>
                <w:rFonts w:hint="eastAsia" w:ascii="仿宋_GB2312" w:hAnsi="宋体" w:eastAsia="仿宋_GB2312" w:cs="方正仿宋简体"/>
                <w:sz w:val="21"/>
                <w:szCs w:val="21"/>
              </w:rPr>
              <w:t>GB</w:t>
            </w:r>
            <w:r>
              <w:rPr>
                <w:rFonts w:hint="eastAsia" w:ascii="仿宋_GB2312" w:hAnsi="宋体" w:eastAsia="仿宋_GB2312" w:cs="方正仿宋简体"/>
                <w:sz w:val="21"/>
                <w:szCs w:val="21"/>
                <w:lang w:eastAsia="zh-CN"/>
              </w:rPr>
              <w:t xml:space="preserve"> </w:t>
            </w:r>
            <w:r>
              <w:rPr>
                <w:rFonts w:hint="eastAsia" w:ascii="仿宋_GB2312" w:hAnsi="宋体" w:eastAsia="仿宋_GB2312" w:cs="方正仿宋简体"/>
                <w:sz w:val="21"/>
                <w:szCs w:val="21"/>
              </w:rPr>
              <w:t>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宋体" w:eastAsia="仿宋_GB2312"/>
                <w:sz w:val="21"/>
                <w:szCs w:val="21"/>
              </w:rPr>
            </w:pPr>
            <w:r>
              <w:rPr>
                <w:rFonts w:hint="eastAsia" w:ascii="仿宋_GB2312" w:hAnsi="宋体" w:eastAsia="仿宋_GB2312" w:cs="方正仿宋简体"/>
                <w:sz w:val="21"/>
                <w:szCs w:val="21"/>
                <w:lang w:eastAsia="zh-CN"/>
              </w:rPr>
              <w:t>3</w:t>
            </w:r>
          </w:p>
        </w:tc>
        <w:tc>
          <w:tcPr>
            <w:tcW w:w="3026" w:type="dxa"/>
            <w:vAlign w:val="center"/>
          </w:tcPr>
          <w:p>
            <w:pPr>
              <w:snapToGrid w:val="0"/>
              <w:jc w:val="center"/>
              <w:rPr>
                <w:rFonts w:ascii="仿宋_GB2312" w:hAnsi="宋体" w:eastAsia="仿宋_GB2312"/>
                <w:sz w:val="21"/>
                <w:szCs w:val="21"/>
                <w:lang w:eastAsia="zh-CN"/>
              </w:rPr>
            </w:pPr>
            <w:r>
              <w:rPr>
                <w:rFonts w:hint="eastAsia" w:ascii="仿宋_GB2312" w:hAnsi="宋体" w:eastAsia="仿宋_GB2312" w:cs="方正仿宋简体"/>
                <w:sz w:val="21"/>
                <w:szCs w:val="21"/>
                <w:lang w:eastAsia="zh-CN"/>
              </w:rPr>
              <w:t>燃气采暖热水炉</w:t>
            </w:r>
          </w:p>
        </w:tc>
        <w:tc>
          <w:tcPr>
            <w:tcW w:w="3069" w:type="dxa"/>
            <w:vAlign w:val="center"/>
          </w:tcPr>
          <w:p>
            <w:pPr>
              <w:snapToGrid w:val="0"/>
              <w:jc w:val="center"/>
              <w:rPr>
                <w:rFonts w:ascii="仿宋_GB2312" w:hAnsi="宋体" w:eastAsia="仿宋_GB2312" w:cs="方正仿宋简体"/>
                <w:sz w:val="21"/>
                <w:szCs w:val="21"/>
              </w:rPr>
            </w:pPr>
            <w:r>
              <w:rPr>
                <w:rFonts w:hint="eastAsia" w:ascii="仿宋_GB2312" w:hAnsi="宋体" w:eastAsia="仿宋_GB2312" w:cs="方正仿宋简体"/>
                <w:sz w:val="21"/>
                <w:szCs w:val="21"/>
              </w:rPr>
              <w:t>GB</w:t>
            </w:r>
            <w:r>
              <w:rPr>
                <w:rFonts w:hint="eastAsia" w:ascii="仿宋_GB2312" w:hAnsi="宋体" w:eastAsia="仿宋_GB2312" w:cs="方正仿宋简体"/>
                <w:sz w:val="21"/>
                <w:szCs w:val="21"/>
                <w:lang w:eastAsia="zh-CN"/>
              </w:rPr>
              <w:t xml:space="preserve"> </w:t>
            </w:r>
            <w:r>
              <w:rPr>
                <w:rFonts w:hint="eastAsia" w:ascii="仿宋_GB2312" w:hAnsi="宋体" w:eastAsia="仿宋_GB2312" w:cs="方正仿宋简体"/>
                <w:sz w:val="21"/>
                <w:szCs w:val="21"/>
              </w:rPr>
              <w:t>25034</w:t>
            </w:r>
          </w:p>
        </w:tc>
      </w:tr>
    </w:tbl>
    <w:p>
      <w:pPr>
        <w:spacing w:line="480" w:lineRule="exact"/>
        <w:ind w:firstLine="560" w:firstLineChars="200"/>
        <w:jc w:val="both"/>
        <w:rPr>
          <w:rFonts w:ascii="仿宋_GB2312" w:eastAsia="仿宋_GB2312"/>
          <w:sz w:val="28"/>
          <w:szCs w:val="28"/>
        </w:rPr>
      </w:pPr>
      <w:r>
        <w:rPr>
          <w:rFonts w:hint="eastAsia" w:ascii="仿宋_GB2312" w:eastAsia="仿宋_GB2312"/>
          <w:sz w:val="28"/>
          <w:szCs w:val="28"/>
        </w:rPr>
        <w:t>上述标准原则上执行国家标准化行政主管部门发布的现行有效版本。当上述标准修订时，按认监委发布的有关文件要求执行。</w:t>
      </w:r>
    </w:p>
    <w:p>
      <w:pPr>
        <w:pStyle w:val="2"/>
        <w:spacing w:before="0" w:after="0" w:line="480" w:lineRule="exact"/>
        <w:jc w:val="both"/>
        <w:rPr>
          <w:rStyle w:val="55"/>
          <w:rFonts w:ascii="仿宋_GB2312" w:hAnsi="Courier New" w:eastAsia="仿宋_GB2312" w:cs="Courier New"/>
          <w:b/>
          <w:bCs/>
          <w:sz w:val="28"/>
          <w:szCs w:val="28"/>
        </w:rPr>
      </w:pPr>
      <w:bookmarkStart w:id="13" w:name="_Toc74251153"/>
      <w:r>
        <w:rPr>
          <w:rStyle w:val="55"/>
          <w:rFonts w:hint="eastAsia" w:ascii="仿宋_GB2312" w:hAnsi="Courier New" w:eastAsia="仿宋_GB2312" w:cs="方正仿宋简体"/>
          <w:b/>
          <w:bCs/>
          <w:sz w:val="28"/>
          <w:szCs w:val="28"/>
        </w:rPr>
        <w:t>3</w:t>
      </w:r>
      <w:r>
        <w:rPr>
          <w:rStyle w:val="55"/>
          <w:rFonts w:ascii="仿宋_GB2312" w:hAnsi="Courier New" w:eastAsia="PMingLiU" w:cs="方正仿宋简体"/>
          <w:b/>
          <w:bCs/>
          <w:sz w:val="28"/>
          <w:szCs w:val="28"/>
        </w:rPr>
        <w:t xml:space="preserve"> </w:t>
      </w:r>
      <w:r>
        <w:rPr>
          <w:rStyle w:val="55"/>
          <w:rFonts w:hint="eastAsia" w:ascii="仿宋_GB2312" w:hAnsi="Courier New" w:eastAsia="仿宋_GB2312" w:cs="方正仿宋简体"/>
          <w:b/>
          <w:bCs/>
          <w:sz w:val="28"/>
          <w:szCs w:val="28"/>
        </w:rPr>
        <w:t>认证模式</w:t>
      </w:r>
      <w:bookmarkEnd w:id="13"/>
    </w:p>
    <w:p>
      <w:pPr>
        <w:spacing w:line="480" w:lineRule="exact"/>
        <w:ind w:firstLine="560" w:firstLineChars="200"/>
        <w:jc w:val="both"/>
        <w:rPr>
          <w:rFonts w:ascii="仿宋_GB2312" w:hAnsi="黑体" w:eastAsia="仿宋_GB2312"/>
          <w:sz w:val="28"/>
          <w:szCs w:val="28"/>
          <w:lang w:eastAsia="zh-CN"/>
        </w:rPr>
      </w:pPr>
      <w:r>
        <w:rPr>
          <w:rFonts w:hint="eastAsia" w:ascii="仿宋_GB2312" w:hAnsi="黑体" w:eastAsia="仿宋_GB2312" w:cs="方正仿宋简体"/>
          <w:sz w:val="28"/>
          <w:szCs w:val="28"/>
          <w:lang w:eastAsia="zh-CN"/>
        </w:rPr>
        <w:t>实施家用燃气器具产品强制性认证的基本认证模式为：</w:t>
      </w:r>
    </w:p>
    <w:p>
      <w:pPr>
        <w:spacing w:line="480" w:lineRule="exact"/>
        <w:ind w:firstLine="560" w:firstLineChars="200"/>
        <w:jc w:val="both"/>
        <w:rPr>
          <w:rFonts w:ascii="仿宋_GB2312" w:hAnsi="黑体" w:eastAsia="仿宋_GB2312"/>
          <w:sz w:val="28"/>
          <w:szCs w:val="28"/>
          <w:lang w:eastAsia="zh-CN"/>
        </w:rPr>
      </w:pPr>
      <w:r>
        <w:rPr>
          <w:rFonts w:hint="eastAsia" w:ascii="仿宋_GB2312" w:hAnsi="黑体" w:eastAsia="仿宋_GB2312" w:cs="方正仿宋简体"/>
          <w:sz w:val="28"/>
          <w:szCs w:val="28"/>
          <w:lang w:eastAsia="zh-CN"/>
        </w:rPr>
        <w:t>产品检测+初始工厂检查+获证后监督</w:t>
      </w:r>
    </w:p>
    <w:p>
      <w:pPr>
        <w:spacing w:line="480" w:lineRule="exact"/>
        <w:ind w:firstLine="560" w:firstLineChars="200"/>
        <w:jc w:val="both"/>
        <w:rPr>
          <w:rFonts w:ascii="仿宋_GB2312" w:hAnsi="黑体" w:eastAsia="仿宋_GB2312" w:cs="方正仿宋简体"/>
          <w:sz w:val="28"/>
          <w:szCs w:val="28"/>
          <w:lang w:eastAsia="zh-CN"/>
        </w:rPr>
      </w:pPr>
      <w:bookmarkStart w:id="14" w:name="bookmark8"/>
      <w:r>
        <w:rPr>
          <w:rFonts w:hint="eastAsia" w:ascii="仿宋_GB2312" w:hAnsi="黑体" w:eastAsia="仿宋_GB2312" w:cs="方正仿宋简体"/>
          <w:sz w:val="28"/>
          <w:szCs w:val="28"/>
          <w:lang w:eastAsia="zh-CN"/>
        </w:rPr>
        <w:t>获证后监督是指获证后的跟踪检查、生产现场抽取样品检测或者检查、市场抽样检测或者检查三种方式之一或组合。</w:t>
      </w:r>
    </w:p>
    <w:p>
      <w:pPr>
        <w:spacing w:line="480" w:lineRule="exact"/>
        <w:ind w:firstLine="560" w:firstLineChars="200"/>
        <w:jc w:val="both"/>
        <w:rPr>
          <w:rFonts w:ascii="仿宋_GB2312" w:hAnsi="黑体" w:eastAsia="仿宋_GB2312" w:cs="方正仿宋简体"/>
          <w:sz w:val="28"/>
          <w:szCs w:val="28"/>
          <w:lang w:eastAsia="zh-CN"/>
        </w:rPr>
      </w:pPr>
      <w:r>
        <w:rPr>
          <w:rFonts w:hint="eastAsia" w:ascii="仿宋_GB2312" w:hAnsi="黑体" w:eastAsia="仿宋_GB2312" w:cs="方正仿宋简体"/>
          <w:sz w:val="28"/>
          <w:szCs w:val="28"/>
          <w:lang w:eastAsia="zh-CN"/>
        </w:rPr>
        <w:t>认证机构应按照《强制性产品认证实施规则生产企业分类管理、认证模式选择与确定》的要求，对生产企业实施分类管理，并结合分类管理结果</w:t>
      </w:r>
      <w:r>
        <w:rPr>
          <w:rFonts w:hint="eastAsia" w:ascii="仿宋_GB2312" w:eastAsia="仿宋_GB2312"/>
          <w:sz w:val="28"/>
          <w:szCs w:val="28"/>
        </w:rPr>
        <w:t>确定获证后监督方式和频次</w:t>
      </w:r>
      <w:bookmarkStart w:id="15" w:name="_Hlk536779002"/>
      <w:r>
        <w:rPr>
          <w:rFonts w:hint="eastAsia" w:ascii="仿宋_GB2312" w:hAnsi="黑体" w:eastAsia="仿宋_GB2312" w:cs="方正仿宋简体"/>
          <w:sz w:val="28"/>
          <w:szCs w:val="28"/>
          <w:lang w:eastAsia="zh-CN"/>
        </w:rPr>
        <w:t>。</w:t>
      </w:r>
      <w:bookmarkEnd w:id="15"/>
    </w:p>
    <w:p>
      <w:pPr>
        <w:pStyle w:val="2"/>
        <w:spacing w:before="0" w:after="0" w:line="480" w:lineRule="exact"/>
        <w:jc w:val="both"/>
        <w:rPr>
          <w:rStyle w:val="55"/>
          <w:rFonts w:ascii="仿宋_GB2312" w:hAnsi="Courier New" w:eastAsia="仿宋_GB2312" w:cs="Courier New"/>
          <w:b/>
          <w:bCs/>
          <w:sz w:val="28"/>
          <w:szCs w:val="28"/>
        </w:rPr>
      </w:pPr>
      <w:bookmarkStart w:id="16" w:name="_Toc74251154"/>
      <w:r>
        <w:rPr>
          <w:rStyle w:val="55"/>
          <w:rFonts w:hint="eastAsia" w:ascii="仿宋_GB2312" w:hAnsi="Courier New" w:eastAsia="仿宋_GB2312" w:cs="方正仿宋简体"/>
          <w:b/>
          <w:bCs/>
          <w:sz w:val="28"/>
          <w:szCs w:val="28"/>
        </w:rPr>
        <w:t>4 认证单元划分</w:t>
      </w:r>
      <w:bookmarkEnd w:id="14"/>
      <w:bookmarkEnd w:id="16"/>
    </w:p>
    <w:p>
      <w:pPr>
        <w:spacing w:line="480" w:lineRule="exact"/>
        <w:ind w:firstLine="560" w:firstLineChars="200"/>
        <w:jc w:val="both"/>
        <w:rPr>
          <w:rFonts w:ascii="仿宋_GB2312" w:hAnsi="黑体" w:eastAsia="仿宋_GB2312" w:cs="方正仿宋简体"/>
          <w:sz w:val="28"/>
          <w:szCs w:val="28"/>
          <w:lang w:eastAsia="zh-CN"/>
        </w:rPr>
      </w:pPr>
      <w:bookmarkStart w:id="17" w:name="bookmark10"/>
      <w:r>
        <w:rPr>
          <w:rFonts w:hint="eastAsia" w:ascii="仿宋_GB2312" w:hAnsi="黑体" w:eastAsia="仿宋_GB2312" w:cs="方正仿宋简体"/>
          <w:sz w:val="28"/>
          <w:szCs w:val="28"/>
          <w:lang w:eastAsia="zh-CN"/>
        </w:rPr>
        <w:t>根据产品种类、产品结构、工作原理、燃气种类等划分单元。</w:t>
      </w:r>
    </w:p>
    <w:p>
      <w:pPr>
        <w:autoSpaceDE w:val="0"/>
        <w:autoSpaceDN w:val="0"/>
        <w:spacing w:line="480" w:lineRule="exact"/>
        <w:ind w:firstLine="560" w:firstLineChars="200"/>
        <w:jc w:val="both"/>
        <w:rPr>
          <w:rFonts w:ascii="仿宋_GB2312" w:hAnsi="黑体" w:eastAsia="仿宋_GB2312" w:cs="方正仿宋简体"/>
          <w:sz w:val="28"/>
          <w:szCs w:val="28"/>
          <w:lang w:eastAsia="zh-CN"/>
        </w:rPr>
      </w:pPr>
      <w:r>
        <w:rPr>
          <w:rFonts w:hint="eastAsia" w:ascii="仿宋_GB2312" w:hAnsi="黑体" w:eastAsia="仿宋_GB2312" w:cs="方正仿宋简体"/>
          <w:sz w:val="28"/>
          <w:szCs w:val="28"/>
          <w:lang w:eastAsia="zh-CN"/>
        </w:rPr>
        <w:t>相同生产者、不同生产企业生产的相同产品，或不同生产者、相同生产企业生产的相同产品，可仅在一个单元的样品上进行产品检测，其他生产企业生产者的产品需提供资料进行一致性核查。</w:t>
      </w:r>
    </w:p>
    <w:p>
      <w:pPr>
        <w:spacing w:line="480" w:lineRule="exact"/>
        <w:ind w:firstLine="560"/>
        <w:jc w:val="both"/>
        <w:rPr>
          <w:rFonts w:ascii="仿宋_GB2312" w:eastAsia="仿宋_GB2312"/>
          <w:sz w:val="28"/>
          <w:szCs w:val="28"/>
        </w:rPr>
      </w:pPr>
      <w:r>
        <w:rPr>
          <w:rFonts w:hint="eastAsia" w:ascii="仿宋_GB2312" w:eastAsia="仿宋_GB2312"/>
          <w:sz w:val="28"/>
          <w:szCs w:val="28"/>
        </w:rPr>
        <w:t>认证机构应依据认监委发布的相关文件规定，在认证实施细则中明确单元划分具体要求。</w:t>
      </w:r>
    </w:p>
    <w:p>
      <w:pPr>
        <w:pStyle w:val="2"/>
        <w:spacing w:before="0" w:after="0" w:line="480" w:lineRule="exact"/>
        <w:jc w:val="both"/>
        <w:rPr>
          <w:rStyle w:val="55"/>
          <w:rFonts w:ascii="仿宋_GB2312" w:hAnsi="Courier New" w:eastAsia="仿宋_GB2312" w:cs="Courier New"/>
          <w:b/>
          <w:bCs/>
          <w:sz w:val="28"/>
          <w:szCs w:val="28"/>
        </w:rPr>
      </w:pPr>
      <w:bookmarkStart w:id="18" w:name="_Toc74251155"/>
      <w:r>
        <w:rPr>
          <w:rStyle w:val="55"/>
          <w:rFonts w:hint="eastAsia" w:ascii="仿宋_GB2312" w:hAnsi="Courier New" w:eastAsia="仿宋_GB2312" w:cs="方正仿宋简体"/>
          <w:b/>
          <w:bCs/>
          <w:sz w:val="28"/>
          <w:szCs w:val="28"/>
        </w:rPr>
        <w:t>5</w:t>
      </w:r>
      <w:r>
        <w:rPr>
          <w:rStyle w:val="55"/>
          <w:rFonts w:ascii="仿宋_GB2312" w:hAnsi="Courier New" w:eastAsia="PMingLiU" w:cs="方正仿宋简体"/>
          <w:b/>
          <w:bCs/>
          <w:sz w:val="28"/>
          <w:szCs w:val="28"/>
        </w:rPr>
        <w:t xml:space="preserve"> </w:t>
      </w:r>
      <w:r>
        <w:rPr>
          <w:rStyle w:val="55"/>
          <w:rFonts w:hint="eastAsia" w:ascii="仿宋_GB2312" w:hAnsi="Courier New" w:eastAsia="仿宋_GB2312" w:cs="方正仿宋简体"/>
          <w:b/>
          <w:bCs/>
          <w:sz w:val="28"/>
          <w:szCs w:val="28"/>
        </w:rPr>
        <w:t>认证委托</w:t>
      </w:r>
      <w:bookmarkEnd w:id="17"/>
      <w:bookmarkEnd w:id="18"/>
    </w:p>
    <w:p>
      <w:pPr>
        <w:pStyle w:val="3"/>
        <w:spacing w:before="0" w:after="0" w:line="480" w:lineRule="exact"/>
        <w:jc w:val="both"/>
        <w:rPr>
          <w:rFonts w:ascii="仿宋_GB2312" w:eastAsia="仿宋_GB2312" w:cs="Courier New"/>
        </w:rPr>
      </w:pPr>
      <w:bookmarkStart w:id="19" w:name="_Toc74251156"/>
      <w:bookmarkStart w:id="20" w:name="bookmark11"/>
      <w:r>
        <w:rPr>
          <w:rStyle w:val="59"/>
          <w:rFonts w:hint="eastAsia" w:ascii="仿宋_GB2312" w:hAnsi="宋体" w:eastAsia="仿宋_GB2312" w:cs="方正仿宋简体"/>
          <w:b/>
          <w:bCs/>
          <w:spacing w:val="0"/>
          <w:lang w:eastAsia="zh-CN"/>
        </w:rPr>
        <w:t>5.1</w:t>
      </w:r>
      <w:r>
        <w:rPr>
          <w:rStyle w:val="59"/>
          <w:rFonts w:ascii="仿宋_GB2312" w:hAnsi="宋体" w:eastAsia="仿宋_GB2312" w:cs="方正仿宋简体"/>
          <w:b/>
          <w:bCs/>
          <w:spacing w:val="0"/>
          <w:lang w:eastAsia="zh-CN"/>
        </w:rPr>
        <w:t xml:space="preserve"> </w:t>
      </w:r>
      <w:r>
        <w:rPr>
          <w:rStyle w:val="58"/>
          <w:rFonts w:hint="eastAsia" w:ascii="仿宋_GB2312" w:hAnsi="宋体" w:eastAsia="仿宋_GB2312" w:cs="方正仿宋简体"/>
          <w:b/>
          <w:bCs/>
          <w:spacing w:val="0"/>
          <w:sz w:val="28"/>
          <w:szCs w:val="28"/>
        </w:rPr>
        <w:t>认证委托的提出和受理</w:t>
      </w:r>
      <w:bookmarkEnd w:id="19"/>
      <w:bookmarkEnd w:id="20"/>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r>
        <w:rPr>
          <w:rFonts w:hint="eastAsia" w:ascii="仿宋_GB2312" w:hAnsi="黑体" w:eastAsia="仿宋_GB2312" w:cs="方正仿宋简体"/>
          <w:color w:val="000000"/>
          <w:spacing w:val="0"/>
          <w:sz w:val="28"/>
          <w:szCs w:val="28"/>
          <w:lang w:val="zh-TW"/>
        </w:rPr>
        <w:t>认证委托人向认证机构提出认证委托，认证机构应对认证委托进行处理，并按照认证实施细则中的时限要求反馈受理或不予受理的信息。</w:t>
      </w:r>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bookmarkStart w:id="21" w:name="bookmark12"/>
      <w:r>
        <w:rPr>
          <w:rFonts w:hint="eastAsia" w:ascii="仿宋_GB2312" w:hAnsi="黑体" w:eastAsia="仿宋_GB2312" w:cs="方正仿宋简体"/>
          <w:color w:val="000000"/>
          <w:spacing w:val="0"/>
          <w:sz w:val="28"/>
          <w:szCs w:val="28"/>
          <w:lang w:val="zh-TW"/>
        </w:rPr>
        <w:t>不符合国家法律法规及相关产业政策要求时，认证机构不得受理相关认证委托。</w:t>
      </w:r>
      <w:bookmarkEnd w:id="21"/>
    </w:p>
    <w:p>
      <w:pPr>
        <w:pStyle w:val="3"/>
        <w:spacing w:before="0" w:after="0" w:line="480" w:lineRule="exact"/>
        <w:jc w:val="both"/>
        <w:rPr>
          <w:rStyle w:val="59"/>
          <w:rFonts w:ascii="仿宋_GB2312" w:hAnsi="宋体" w:eastAsia="仿宋_GB2312" w:cs="Courier New"/>
          <w:b/>
          <w:bCs/>
          <w:spacing w:val="0"/>
          <w:lang w:eastAsia="zh-CN"/>
        </w:rPr>
      </w:pPr>
      <w:bookmarkStart w:id="22" w:name="_Toc74251157"/>
      <w:r>
        <w:rPr>
          <w:rStyle w:val="59"/>
          <w:rFonts w:hint="eastAsia" w:ascii="仿宋_GB2312" w:hAnsi="宋体" w:eastAsia="仿宋_GB2312" w:cs="方正仿宋简体"/>
          <w:b/>
          <w:bCs/>
          <w:spacing w:val="0"/>
          <w:lang w:eastAsia="zh-CN"/>
        </w:rPr>
        <w:t>5.2 申请资料</w:t>
      </w:r>
      <w:bookmarkEnd w:id="22"/>
    </w:p>
    <w:p>
      <w:pPr>
        <w:pStyle w:val="8"/>
        <w:shd w:val="clear" w:color="auto" w:fill="auto"/>
        <w:spacing w:before="0" w:line="480" w:lineRule="exact"/>
        <w:ind w:firstLine="560" w:firstLineChars="200"/>
        <w:jc w:val="both"/>
        <w:rPr>
          <w:rFonts w:ascii="仿宋_GB2312" w:hAnsi="黑体" w:eastAsia="仿宋_GB2312" w:cs="Courier New"/>
          <w:color w:val="000000"/>
          <w:spacing w:val="0"/>
          <w:sz w:val="28"/>
          <w:szCs w:val="28"/>
          <w:lang w:val="zh-TW"/>
        </w:rPr>
      </w:pPr>
      <w:r>
        <w:rPr>
          <w:rFonts w:hint="eastAsia" w:ascii="仿宋_GB2312" w:hAnsi="黑体" w:eastAsia="仿宋_GB2312" w:cs="方正仿宋简体"/>
          <w:color w:val="000000"/>
          <w:spacing w:val="0"/>
          <w:sz w:val="28"/>
          <w:szCs w:val="28"/>
          <w:lang w:val="zh-TW"/>
        </w:rPr>
        <w:t>认证机构应根据法律法规、标准及认证实施的需要在认证实施细则中明确申请资料清单（应至少包括认证申请书或合同、认证委托人/生产者/生产企业的注册证明等）。</w:t>
      </w:r>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bookmarkStart w:id="23" w:name="bookmark13"/>
      <w:r>
        <w:rPr>
          <w:rFonts w:hint="eastAsia" w:ascii="仿宋_GB2312" w:hAnsi="黑体" w:eastAsia="仿宋_GB2312" w:cs="方正仿宋简体"/>
          <w:color w:val="000000"/>
          <w:spacing w:val="0"/>
          <w:sz w:val="28"/>
          <w:szCs w:val="28"/>
          <w:lang w:val="zh-TW"/>
        </w:rPr>
        <w:t>认证委托人应按认证实施细则中申请资料清单的要求提供所需资料。认证机构负责审核、管理、保存、保密有关资料，并将资料审核结果告知认证委托人。</w:t>
      </w:r>
      <w:bookmarkEnd w:id="23"/>
    </w:p>
    <w:p>
      <w:pPr>
        <w:pStyle w:val="3"/>
        <w:spacing w:before="0" w:after="0" w:line="480" w:lineRule="exact"/>
        <w:jc w:val="both"/>
        <w:rPr>
          <w:rStyle w:val="59"/>
          <w:rFonts w:ascii="仿宋_GB2312" w:hAnsi="宋体" w:eastAsia="仿宋_GB2312" w:cs="Courier New"/>
          <w:b/>
          <w:bCs/>
          <w:spacing w:val="0"/>
          <w:lang w:eastAsia="zh-CN"/>
        </w:rPr>
      </w:pPr>
      <w:bookmarkStart w:id="24" w:name="_Toc74251158"/>
      <w:r>
        <w:rPr>
          <w:rStyle w:val="59"/>
          <w:rFonts w:hint="eastAsia" w:ascii="仿宋_GB2312" w:hAnsi="宋体" w:eastAsia="仿宋_GB2312" w:cs="方正仿宋简体"/>
          <w:b/>
          <w:bCs/>
          <w:spacing w:val="0"/>
          <w:lang w:eastAsia="zh-CN"/>
        </w:rPr>
        <w:t>5.3 实施安排</w:t>
      </w:r>
      <w:bookmarkEnd w:id="24"/>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bookmarkStart w:id="25" w:name="bookmark14"/>
      <w:r>
        <w:rPr>
          <w:rFonts w:hint="eastAsia" w:ascii="仿宋_GB2312" w:hAnsi="黑体" w:eastAsia="仿宋_GB2312" w:cs="方正仿宋简体"/>
          <w:color w:val="000000"/>
          <w:spacing w:val="0"/>
          <w:sz w:val="28"/>
          <w:szCs w:val="28"/>
          <w:lang w:val="zh-TW"/>
        </w:rPr>
        <w:t>认证机构应与认证委托人约定双方在认证实施各环节中的相关责任和安排，并根据生产企业实际和分类管理情况，按照本规则及认证实施细则的要求，确定认证实施的具体方案并告知认证委托人。</w:t>
      </w:r>
      <w:bookmarkEnd w:id="25"/>
    </w:p>
    <w:p>
      <w:pPr>
        <w:pStyle w:val="8"/>
        <w:shd w:val="clear" w:color="auto" w:fill="auto"/>
        <w:spacing w:before="0" w:line="480" w:lineRule="exact"/>
        <w:ind w:firstLine="560" w:firstLineChars="200"/>
        <w:jc w:val="both"/>
        <w:rPr>
          <w:rFonts w:ascii="仿宋_GB2312" w:hAnsi="黑体" w:eastAsia="仿宋_GB2312" w:cs="Courier New"/>
          <w:color w:val="000000"/>
          <w:spacing w:val="0"/>
          <w:sz w:val="28"/>
          <w:szCs w:val="28"/>
          <w:lang w:val="zh-TW"/>
        </w:rPr>
      </w:pPr>
    </w:p>
    <w:p>
      <w:pPr>
        <w:pStyle w:val="2"/>
        <w:spacing w:before="0" w:after="0" w:line="480" w:lineRule="exact"/>
        <w:jc w:val="both"/>
        <w:rPr>
          <w:rStyle w:val="55"/>
          <w:rFonts w:ascii="仿宋_GB2312" w:hAnsi="宋体" w:eastAsia="仿宋_GB2312" w:cs="Courier New"/>
          <w:b w:val="0"/>
          <w:bCs w:val="0"/>
          <w:sz w:val="28"/>
          <w:szCs w:val="28"/>
        </w:rPr>
      </w:pPr>
      <w:bookmarkStart w:id="26" w:name="_Toc74251159"/>
      <w:r>
        <w:rPr>
          <w:rStyle w:val="55"/>
          <w:rFonts w:hint="eastAsia" w:ascii="仿宋_GB2312" w:hAnsi="宋体" w:eastAsia="仿宋_GB2312" w:cs="方正仿宋简体"/>
          <w:b/>
          <w:bCs/>
          <w:sz w:val="28"/>
          <w:szCs w:val="28"/>
        </w:rPr>
        <w:t>6</w:t>
      </w:r>
      <w:r>
        <w:rPr>
          <w:rStyle w:val="55"/>
          <w:rFonts w:ascii="仿宋_GB2312" w:hAnsi="宋体" w:eastAsia="PMingLiU" w:cs="方正仿宋简体"/>
          <w:b/>
          <w:bCs/>
          <w:sz w:val="28"/>
          <w:szCs w:val="28"/>
        </w:rPr>
        <w:t xml:space="preserve"> </w:t>
      </w:r>
      <w:r>
        <w:rPr>
          <w:rStyle w:val="55"/>
          <w:rFonts w:hint="eastAsia" w:ascii="仿宋_GB2312" w:hAnsi="Courier New" w:eastAsia="仿宋_GB2312" w:cs="方正仿宋简体"/>
          <w:b/>
          <w:bCs/>
          <w:sz w:val="28"/>
          <w:szCs w:val="28"/>
        </w:rPr>
        <w:t>认证实施</w:t>
      </w:r>
      <w:bookmarkEnd w:id="26"/>
    </w:p>
    <w:p>
      <w:pPr>
        <w:pStyle w:val="3"/>
        <w:spacing w:before="0" w:after="0" w:line="480" w:lineRule="exact"/>
        <w:jc w:val="both"/>
        <w:rPr>
          <w:rStyle w:val="59"/>
          <w:rFonts w:ascii="仿宋_GB2312" w:hAnsi="宋体" w:eastAsia="仿宋_GB2312" w:cs="Courier New"/>
          <w:b/>
          <w:bCs/>
          <w:spacing w:val="0"/>
          <w:lang w:eastAsia="zh-CN"/>
        </w:rPr>
      </w:pPr>
      <w:bookmarkStart w:id="27" w:name="_Toc74251160"/>
      <w:r>
        <w:rPr>
          <w:rStyle w:val="59"/>
          <w:rFonts w:hint="eastAsia" w:ascii="仿宋_GB2312" w:hAnsi="宋体" w:eastAsia="仿宋_GB2312" w:cs="方正仿宋简体"/>
          <w:b/>
          <w:bCs/>
          <w:spacing w:val="0"/>
          <w:lang w:eastAsia="zh-CN"/>
        </w:rPr>
        <w:t>6.1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产品检测</w:t>
      </w:r>
      <w:bookmarkEnd w:id="27"/>
    </w:p>
    <w:p>
      <w:pPr>
        <w:spacing w:line="480" w:lineRule="exact"/>
        <w:jc w:val="both"/>
        <w:rPr>
          <w:rFonts w:ascii="仿宋_GB2312" w:eastAsia="仿宋_GB2312"/>
          <w:b/>
          <w:bCs/>
          <w:sz w:val="28"/>
          <w:szCs w:val="28"/>
        </w:rPr>
      </w:pPr>
      <w:bookmarkStart w:id="28" w:name="bookmark16"/>
      <w:r>
        <w:rPr>
          <w:rStyle w:val="59"/>
          <w:rFonts w:hint="eastAsia" w:ascii="仿宋_GB2312" w:hAnsi="宋体" w:eastAsia="仿宋_GB2312" w:cs="方正仿宋简体"/>
          <w:b/>
          <w:bCs/>
          <w:spacing w:val="0"/>
          <w:lang w:eastAsia="zh-CN"/>
        </w:rPr>
        <w:t xml:space="preserve">6.1.1 </w:t>
      </w:r>
      <w:bookmarkEnd w:id="28"/>
      <w:r>
        <w:rPr>
          <w:rStyle w:val="58"/>
          <w:rFonts w:hint="eastAsia" w:ascii="仿宋_GB2312" w:hAnsi="宋体" w:eastAsia="仿宋_GB2312" w:cs="方正仿宋简体"/>
          <w:b/>
          <w:bCs/>
          <w:spacing w:val="0"/>
          <w:sz w:val="28"/>
          <w:szCs w:val="28"/>
          <w:lang w:eastAsia="zh-CN"/>
        </w:rPr>
        <w:t>产品检测</w:t>
      </w:r>
      <w:r>
        <w:rPr>
          <w:rStyle w:val="58"/>
          <w:rFonts w:hint="eastAsia" w:ascii="仿宋_GB2312" w:hAnsi="宋体" w:eastAsia="仿宋_GB2312" w:cs="方正仿宋简体"/>
          <w:b/>
          <w:bCs/>
          <w:spacing w:val="0"/>
          <w:sz w:val="28"/>
          <w:szCs w:val="28"/>
        </w:rPr>
        <w:t>方案</w:t>
      </w:r>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r>
        <w:rPr>
          <w:rFonts w:hint="eastAsia" w:ascii="仿宋_GB2312" w:hAnsi="黑体" w:eastAsia="仿宋_GB2312" w:cs="方正仿宋简体"/>
          <w:color w:val="000000"/>
          <w:spacing w:val="0"/>
          <w:sz w:val="28"/>
          <w:szCs w:val="28"/>
          <w:lang w:val="zh-TW"/>
        </w:rPr>
        <w:t>认证机构应在进行资料审核后制定产品检测方案，并告知认证委托人。</w:t>
      </w:r>
    </w:p>
    <w:p>
      <w:pPr>
        <w:pStyle w:val="8"/>
        <w:shd w:val="clear" w:color="auto" w:fill="auto"/>
        <w:spacing w:before="0" w:line="480" w:lineRule="exact"/>
        <w:ind w:firstLine="560" w:firstLineChars="200"/>
        <w:jc w:val="both"/>
        <w:rPr>
          <w:rFonts w:ascii="仿宋_GB2312" w:hAnsi="黑体" w:eastAsia="仿宋_GB2312" w:cs="方正仿宋简体"/>
          <w:color w:val="000000"/>
          <w:spacing w:val="0"/>
          <w:sz w:val="28"/>
          <w:szCs w:val="28"/>
          <w:lang w:val="zh-TW"/>
        </w:rPr>
      </w:pPr>
      <w:r>
        <w:rPr>
          <w:rFonts w:hint="eastAsia" w:ascii="仿宋_GB2312" w:hAnsi="黑体" w:eastAsia="仿宋_GB2312" w:cs="方正仿宋简体"/>
          <w:color w:val="000000"/>
          <w:spacing w:val="0"/>
          <w:sz w:val="28"/>
          <w:szCs w:val="28"/>
          <w:lang w:val="zh-TW"/>
        </w:rPr>
        <w:t>产品检测方案包括产品检测的样品要求和数量、检测标准项目、实验室信息等。</w:t>
      </w:r>
    </w:p>
    <w:p>
      <w:pPr>
        <w:spacing w:line="480" w:lineRule="exact"/>
        <w:ind w:firstLine="560"/>
        <w:jc w:val="both"/>
        <w:rPr>
          <w:rFonts w:ascii="仿宋_GB2312" w:hAnsi="黑体" w:eastAsia="仿宋_GB2312" w:cs="方正仿宋简体"/>
          <w:sz w:val="28"/>
          <w:szCs w:val="28"/>
        </w:rPr>
      </w:pPr>
      <w:r>
        <w:rPr>
          <w:rFonts w:hint="eastAsia" w:ascii="仿宋_GB2312" w:eastAsia="仿宋_GB2312"/>
          <w:sz w:val="28"/>
          <w:szCs w:val="28"/>
        </w:rPr>
        <w:t>如果认证委托人在提出认证委托时，提交了符合要求的产品检测报告，认证机构应予以接受。</w:t>
      </w:r>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6.1.2 产品检测样品要求</w:t>
      </w:r>
    </w:p>
    <w:p>
      <w:pPr>
        <w:spacing w:line="480" w:lineRule="exact"/>
        <w:ind w:firstLine="560"/>
        <w:jc w:val="both"/>
        <w:rPr>
          <w:rFonts w:ascii="仿宋_GB2312" w:hAnsi="黑体" w:eastAsia="仿宋_GB2312"/>
          <w:sz w:val="28"/>
          <w:szCs w:val="28"/>
        </w:rPr>
      </w:pPr>
      <w:r>
        <w:rPr>
          <w:rFonts w:hint="eastAsia" w:ascii="仿宋_GB2312" w:hAnsi="黑体" w:eastAsia="仿宋_GB2312"/>
          <w:sz w:val="28"/>
          <w:szCs w:val="28"/>
        </w:rPr>
        <w:t>通常，产品检测的样品由认证委托人按认证机构的要求选送代表性样品用于检测；必要时，认证机构也可采取现场抽样方式获得样品。认证机构应在实施细则中明确认证产品送样/抽样的相关要求。</w:t>
      </w:r>
    </w:p>
    <w:p>
      <w:pPr>
        <w:pStyle w:val="8"/>
        <w:shd w:val="clear" w:color="auto" w:fill="auto"/>
        <w:spacing w:before="0" w:line="480" w:lineRule="exact"/>
        <w:ind w:firstLine="560" w:firstLineChars="200"/>
        <w:jc w:val="both"/>
        <w:rPr>
          <w:rStyle w:val="58"/>
          <w:rFonts w:ascii="仿宋_GB2312" w:hAnsi="宋体" w:eastAsia="仿宋_GB2312" w:cs="Courier New"/>
          <w:color w:val="000000"/>
          <w:spacing w:val="0"/>
          <w:sz w:val="28"/>
          <w:szCs w:val="28"/>
          <w:lang w:val="zh-TW"/>
        </w:rPr>
      </w:pPr>
      <w:r>
        <w:rPr>
          <w:rStyle w:val="58"/>
          <w:rFonts w:hint="eastAsia" w:ascii="仿宋_GB2312" w:hAnsi="宋体" w:eastAsia="仿宋_GB2312" w:cs="方正仿宋简体"/>
          <w:color w:val="000000"/>
          <w:spacing w:val="0"/>
          <w:sz w:val="28"/>
          <w:szCs w:val="28"/>
          <w:lang w:val="zh-TW" w:eastAsia="zh-TW"/>
        </w:rPr>
        <w:t>认证委托人应保证其所提供的样品与实际生产产品的一致性。</w:t>
      </w:r>
      <w:bookmarkStart w:id="29" w:name="_Hlk536779549"/>
      <w:r>
        <w:rPr>
          <w:rStyle w:val="58"/>
          <w:rFonts w:hint="eastAsia" w:ascii="仿宋_GB2312" w:hAnsi="宋体" w:eastAsia="仿宋_GB2312" w:cs="方正仿宋简体"/>
          <w:color w:val="000000"/>
          <w:spacing w:val="0"/>
          <w:sz w:val="28"/>
          <w:szCs w:val="28"/>
          <w:lang w:val="zh-TW" w:eastAsia="zh-TW"/>
        </w:rPr>
        <w:t>认证机构和</w:t>
      </w:r>
      <w:r>
        <w:rPr>
          <w:rStyle w:val="59"/>
          <w:rFonts w:hint="eastAsia" w:ascii="仿宋_GB2312" w:hAnsi="宋体" w:eastAsia="仿宋_GB2312" w:cs="方正仿宋简体"/>
          <w:color w:val="000000"/>
          <w:spacing w:val="0"/>
          <w:lang w:val="zh-TW" w:eastAsia="zh-TW"/>
        </w:rPr>
        <w:t>/</w:t>
      </w:r>
      <w:r>
        <w:rPr>
          <w:rStyle w:val="58"/>
          <w:rFonts w:hint="eastAsia" w:ascii="仿宋_GB2312" w:hAnsi="宋体" w:eastAsia="仿宋_GB2312" w:cs="方正仿宋简体"/>
          <w:color w:val="000000"/>
          <w:spacing w:val="0"/>
          <w:sz w:val="28"/>
          <w:szCs w:val="28"/>
          <w:lang w:val="zh-TW" w:eastAsia="zh-TW"/>
        </w:rPr>
        <w:t>或</w:t>
      </w:r>
      <w:bookmarkEnd w:id="29"/>
      <w:r>
        <w:rPr>
          <w:rStyle w:val="58"/>
          <w:rFonts w:hint="eastAsia" w:ascii="仿宋_GB2312" w:hAnsi="宋体" w:eastAsia="仿宋_GB2312" w:cs="方正仿宋简体"/>
          <w:color w:val="000000"/>
          <w:spacing w:val="0"/>
          <w:sz w:val="28"/>
          <w:szCs w:val="28"/>
          <w:lang w:val="zh-TW" w:eastAsia="zh-TW"/>
        </w:rPr>
        <w:t>实验室应对认证委托人提供样品的真实性进行审查。实验室对样品真实性有疑义的，应当向认证机构说明情况，并做出相应处理。</w:t>
      </w:r>
    </w:p>
    <w:p>
      <w:pPr>
        <w:pStyle w:val="8"/>
        <w:shd w:val="clear" w:color="auto" w:fill="auto"/>
        <w:spacing w:before="0" w:line="480" w:lineRule="exact"/>
        <w:ind w:firstLine="560" w:firstLineChars="200"/>
        <w:jc w:val="both"/>
        <w:rPr>
          <w:rStyle w:val="58"/>
          <w:rFonts w:ascii="仿宋_GB2312" w:hAnsi="宋体" w:eastAsia="仿宋_GB2312" w:cs="Courier New"/>
          <w:color w:val="000000"/>
          <w:spacing w:val="0"/>
          <w:sz w:val="28"/>
          <w:szCs w:val="28"/>
          <w:lang w:val="zh-TW" w:eastAsia="zh-TW"/>
        </w:rPr>
      </w:pPr>
      <w:bookmarkStart w:id="30" w:name="bookmark18"/>
      <w:r>
        <w:rPr>
          <w:rStyle w:val="58"/>
          <w:rFonts w:hint="eastAsia" w:ascii="仿宋_GB2312" w:hAnsi="宋体" w:eastAsia="仿宋_GB2312" w:cs="方正仿宋简体"/>
          <w:color w:val="000000"/>
          <w:spacing w:val="0"/>
          <w:sz w:val="28"/>
          <w:szCs w:val="28"/>
          <w:lang w:val="zh-TW" w:eastAsia="zh-TW"/>
        </w:rPr>
        <w:t>认证机构应依据认监委发布的相关文件规定，在认证实施细则中明确产品所用关键元器件清单及相关要求。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对于在境内购买获得的强制性产品认证范围内的关键元器件，生产企业应提供强制性产品认证证书；对于非强制性产品认证范围内的关键元器件，认证机构应在认证实施细则中明确可被接受或承认的自愿性认证证书或型式试验</w:t>
      </w:r>
      <w:r>
        <w:rPr>
          <w:rFonts w:hint="eastAsia" w:ascii="仿宋_GB2312" w:hAnsi="宋体" w:eastAsia="仿宋_GB2312" w:cs="方正仿宋简体"/>
          <w:sz w:val="28"/>
          <w:szCs w:val="28"/>
          <w:lang w:eastAsia="zh-CN"/>
        </w:rPr>
        <w:t>/产品检测</w:t>
      </w:r>
      <w:r>
        <w:rPr>
          <w:rFonts w:hint="eastAsia" w:ascii="仿宋_GB2312" w:hAnsi="宋体" w:eastAsia="仿宋_GB2312" w:cs="方正仿宋简体"/>
          <w:sz w:val="28"/>
          <w:szCs w:val="28"/>
        </w:rPr>
        <w:t>报告的条件和具体要求。</w:t>
      </w:r>
      <w:bookmarkEnd w:id="30"/>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6.1.3</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产品检测项目</w:t>
      </w:r>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rPr>
      </w:pPr>
      <w:r>
        <w:rPr>
          <w:rStyle w:val="58"/>
          <w:rFonts w:hint="eastAsia" w:ascii="仿宋_GB2312" w:hAnsi="宋体" w:eastAsia="仿宋_GB2312" w:cs="方正仿宋简体"/>
          <w:color w:val="000000"/>
          <w:spacing w:val="0"/>
          <w:sz w:val="28"/>
          <w:szCs w:val="28"/>
          <w:lang w:val="zh-TW" w:eastAsia="zh-TW"/>
        </w:rPr>
        <w:t>原则上应包括</w:t>
      </w:r>
      <w:r>
        <w:rPr>
          <w:rStyle w:val="58"/>
          <w:rFonts w:hint="eastAsia" w:ascii="仿宋_GB2312" w:hAnsi="宋体" w:eastAsia="仿宋_GB2312" w:cs="方正仿宋简体"/>
          <w:color w:val="000000"/>
          <w:spacing w:val="0"/>
          <w:sz w:val="28"/>
          <w:szCs w:val="28"/>
          <w:lang w:eastAsia="zh-TW"/>
        </w:rPr>
        <w:t>产品认证依据标准规定的强制性安全项目（具体详见附件）。</w:t>
      </w:r>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rPr>
      </w:pPr>
      <w:r>
        <w:rPr>
          <w:rStyle w:val="58"/>
          <w:rFonts w:hint="eastAsia" w:ascii="仿宋_GB2312" w:hAnsi="宋体" w:eastAsia="仿宋_GB2312" w:cs="方正仿宋简体"/>
          <w:color w:val="000000"/>
          <w:spacing w:val="0"/>
          <w:sz w:val="28"/>
          <w:szCs w:val="28"/>
          <w:lang w:val="zh-TW" w:eastAsia="zh-TW"/>
        </w:rPr>
        <w:t>当对标准中部分检测项目有所调整时，则应按认监委发布的相关文件规定执行。</w:t>
      </w:r>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rPr>
      </w:pPr>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6.1.4 产品检测的实施</w:t>
      </w:r>
    </w:p>
    <w:p>
      <w:pPr>
        <w:pStyle w:val="8"/>
        <w:shd w:val="clear" w:color="auto" w:fill="auto"/>
        <w:spacing w:before="0" w:line="480" w:lineRule="exact"/>
        <w:ind w:firstLine="560" w:firstLineChars="200"/>
        <w:jc w:val="both"/>
        <w:rPr>
          <w:rStyle w:val="58"/>
          <w:rFonts w:ascii="仿宋_GB2312" w:eastAsia="仿宋_GB2312" w:cs="方正仿宋简体"/>
          <w:color w:val="000000"/>
          <w:spacing w:val="0"/>
          <w:sz w:val="28"/>
          <w:szCs w:val="28"/>
          <w:lang w:val="zh-TW"/>
        </w:rPr>
      </w:pPr>
      <w:r>
        <w:rPr>
          <w:rStyle w:val="58"/>
          <w:rFonts w:hint="eastAsia" w:ascii="仿宋_GB2312" w:eastAsia="仿宋_GB2312" w:cs="方正仿宋简体"/>
          <w:color w:val="000000"/>
          <w:spacing w:val="0"/>
          <w:sz w:val="28"/>
          <w:szCs w:val="28"/>
          <w:lang w:val="zh-TW" w:eastAsia="zh-TW"/>
        </w:rPr>
        <w:t>原则上，产品检测应在认监委</w:t>
      </w:r>
      <w:r>
        <w:rPr>
          <w:rStyle w:val="58"/>
          <w:rFonts w:hint="eastAsia" w:ascii="仿宋_GB2312" w:eastAsia="仿宋_GB2312" w:cs="方正仿宋简体"/>
          <w:color w:val="000000"/>
          <w:spacing w:val="0"/>
          <w:sz w:val="28"/>
          <w:szCs w:val="28"/>
          <w:lang w:val="zh-TW"/>
        </w:rPr>
        <w:t>指定</w:t>
      </w:r>
      <w:r>
        <w:rPr>
          <w:rStyle w:val="58"/>
          <w:rFonts w:hint="eastAsia" w:ascii="仿宋_GB2312" w:eastAsia="仿宋_GB2312" w:cs="方正仿宋简体"/>
          <w:color w:val="000000"/>
          <w:spacing w:val="0"/>
          <w:sz w:val="28"/>
          <w:szCs w:val="28"/>
          <w:lang w:val="zh-TW" w:eastAsia="zh-TW"/>
        </w:rPr>
        <w:t>的实验室完成。实验室对样品进行产品检测，并对检测全过程做出完整记录并归档留存，以保证检测过程和结果的记录具有可追溯性。</w:t>
      </w:r>
    </w:p>
    <w:p>
      <w:pPr>
        <w:pStyle w:val="8"/>
        <w:shd w:val="clear" w:color="auto" w:fill="auto"/>
        <w:spacing w:before="0" w:line="480" w:lineRule="exact"/>
        <w:ind w:firstLine="560" w:firstLineChars="200"/>
        <w:jc w:val="both"/>
        <w:rPr>
          <w:rFonts w:ascii="仿宋_GB2312" w:hAnsi="宋体" w:eastAsia="仿宋_GB2312" w:cs="方正仿宋简体"/>
          <w:color w:val="000000"/>
          <w:spacing w:val="0"/>
          <w:sz w:val="28"/>
          <w:szCs w:val="28"/>
          <w:lang w:val="zh-TW"/>
        </w:rPr>
      </w:pPr>
      <w:r>
        <w:rPr>
          <w:rFonts w:hint="eastAsia" w:ascii="仿宋_GB2312" w:hAnsi="宋体" w:eastAsia="仿宋_GB2312" w:cs="方正仿宋简体"/>
          <w:color w:val="000000"/>
          <w:spacing w:val="0"/>
          <w:sz w:val="28"/>
          <w:szCs w:val="28"/>
          <w:lang w:val="zh-TW"/>
        </w:rPr>
        <w:t>在不影响认证结果有效性的前提下，认证机构可根据《强制性产品认证实施规则  生产企业检测资源及其他认证结果的利用》制定相应管理程序，由指定实验室派出检测人员按标准要求利用生产企业检测资源实施检测或目击检测，并由指定实验室出具检测报告。实验室应确保检测结论真实性、正确性、可追溯性。认证机构应在认证实施细则中明确具体要求及程序。</w:t>
      </w:r>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6.1.5 产品检测报告</w:t>
      </w:r>
    </w:p>
    <w:p>
      <w:pPr>
        <w:pStyle w:val="8"/>
        <w:shd w:val="clear" w:color="auto" w:fill="auto"/>
        <w:spacing w:before="0" w:line="480" w:lineRule="exact"/>
        <w:ind w:firstLine="560" w:firstLineChars="200"/>
        <w:jc w:val="both"/>
        <w:rPr>
          <w:rStyle w:val="58"/>
          <w:rFonts w:ascii="仿宋_GB2312" w:eastAsia="仿宋_GB2312" w:cs="方正仿宋简体"/>
          <w:color w:val="000000"/>
          <w:spacing w:val="0"/>
          <w:sz w:val="28"/>
          <w:szCs w:val="28"/>
          <w:lang w:val="zh-TW" w:eastAsia="zh-TW"/>
        </w:rPr>
      </w:pPr>
      <w:r>
        <w:rPr>
          <w:rStyle w:val="58"/>
          <w:rFonts w:hint="eastAsia" w:ascii="仿宋_GB2312" w:eastAsia="仿宋_GB2312" w:cs="方正仿宋简体"/>
          <w:color w:val="000000"/>
          <w:spacing w:val="0"/>
          <w:sz w:val="28"/>
          <w:szCs w:val="28"/>
          <w:lang w:val="zh-TW" w:eastAsia="zh-TW"/>
        </w:rPr>
        <w:t>认证机构应规定统一的产品检测报告格式。</w:t>
      </w:r>
    </w:p>
    <w:p>
      <w:pPr>
        <w:pStyle w:val="8"/>
        <w:shd w:val="clear" w:color="auto" w:fill="auto"/>
        <w:spacing w:before="0" w:line="480" w:lineRule="exact"/>
        <w:ind w:firstLine="560" w:firstLineChars="200"/>
        <w:jc w:val="both"/>
        <w:rPr>
          <w:rStyle w:val="58"/>
          <w:rFonts w:ascii="仿宋_GB2312" w:eastAsia="仿宋_GB2312" w:cs="方正仿宋简体"/>
          <w:color w:val="000000"/>
          <w:spacing w:val="0"/>
          <w:sz w:val="28"/>
          <w:szCs w:val="28"/>
          <w:lang w:val="zh-TW"/>
        </w:rPr>
      </w:pPr>
      <w:bookmarkStart w:id="31" w:name="bookmark21"/>
      <w:r>
        <w:rPr>
          <w:rStyle w:val="58"/>
          <w:rFonts w:hint="eastAsia" w:ascii="仿宋_GB2312" w:eastAsia="仿宋_GB2312" w:cs="方正仿宋简体"/>
          <w:color w:val="000000"/>
          <w:spacing w:val="0"/>
          <w:sz w:val="28"/>
          <w:szCs w:val="28"/>
          <w:lang w:val="zh-TW" w:eastAsia="zh-TW"/>
        </w:rPr>
        <w:t>产品检测结束后，实验室应及时向认证机构、认证委托人出具产品检测报告。检测</w:t>
      </w:r>
      <w:r>
        <w:rPr>
          <w:rStyle w:val="58"/>
          <w:rFonts w:hint="eastAsia" w:ascii="仿宋_GB2312" w:eastAsia="仿宋_GB2312" w:cs="方正仿宋简体"/>
          <w:spacing w:val="0"/>
          <w:sz w:val="28"/>
          <w:szCs w:val="28"/>
          <w:lang w:val="zh-TW" w:eastAsia="zh-TW"/>
        </w:rPr>
        <w:t>报告应包含必要的对申请单元内产品与认证相关信息的描述。</w:t>
      </w:r>
      <w:r>
        <w:rPr>
          <w:rStyle w:val="58"/>
          <w:rFonts w:hint="eastAsia" w:ascii="仿宋_GB2312" w:eastAsia="仿宋_GB2312" w:cs="方正仿宋简体"/>
          <w:color w:val="000000"/>
          <w:spacing w:val="0"/>
          <w:sz w:val="28"/>
          <w:szCs w:val="28"/>
          <w:lang w:val="zh-TW" w:eastAsia="zh-TW"/>
        </w:rPr>
        <w:t>认证委托人应确保在获证后监督时能够向认证机构和执法机构提供完整有效的产品检测报告。</w:t>
      </w:r>
      <w:bookmarkEnd w:id="31"/>
    </w:p>
    <w:p>
      <w:pPr>
        <w:pStyle w:val="3"/>
        <w:spacing w:before="0" w:after="0" w:line="480" w:lineRule="exact"/>
        <w:jc w:val="both"/>
        <w:rPr>
          <w:rStyle w:val="59"/>
          <w:rFonts w:ascii="仿宋_GB2312" w:hAnsi="宋体" w:eastAsia="仿宋_GB2312" w:cs="方正仿宋简体"/>
          <w:b/>
          <w:bCs/>
          <w:spacing w:val="0"/>
          <w:lang w:eastAsia="zh-CN"/>
        </w:rPr>
      </w:pPr>
      <w:bookmarkStart w:id="32" w:name="_Toc74251161"/>
      <w:r>
        <w:rPr>
          <w:rStyle w:val="59"/>
          <w:rFonts w:hint="eastAsia" w:ascii="仿宋_GB2312" w:hAnsi="宋体" w:eastAsia="仿宋_GB2312" w:cs="方正仿宋简体"/>
          <w:b/>
          <w:bCs/>
          <w:spacing w:val="0"/>
          <w:lang w:eastAsia="zh-CN"/>
        </w:rPr>
        <w:t>6.2 初始工厂检查</w:t>
      </w:r>
      <w:bookmarkEnd w:id="32"/>
    </w:p>
    <w:p>
      <w:pPr>
        <w:spacing w:line="480" w:lineRule="exact"/>
        <w:ind w:firstLine="560"/>
        <w:jc w:val="both"/>
        <w:rPr>
          <w:rFonts w:ascii="仿宋_GB2312" w:hAnsi="Times New Roman" w:eastAsia="仿宋_GB2312" w:cs="Times New Roman"/>
          <w:color w:val="auto"/>
          <w:lang w:eastAsia="zh-CN"/>
        </w:rPr>
      </w:pPr>
      <w:r>
        <w:rPr>
          <w:rFonts w:hint="eastAsia" w:ascii="仿宋_GB2312" w:eastAsia="仿宋_GB2312"/>
          <w:sz w:val="28"/>
          <w:szCs w:val="28"/>
        </w:rPr>
        <w:t>初始工厂检查</w:t>
      </w:r>
      <w:r>
        <w:rPr>
          <w:rFonts w:hint="eastAsia" w:ascii="仿宋_GB2312" w:eastAsia="仿宋_GB2312"/>
          <w:sz w:val="28"/>
          <w:szCs w:val="28"/>
          <w:lang w:val="en-US" w:eastAsia="zh-CN"/>
        </w:rPr>
        <w:t>是</w:t>
      </w:r>
      <w:r>
        <w:rPr>
          <w:rFonts w:hint="eastAsia" w:ascii="仿宋_GB2312" w:eastAsia="仿宋_GB2312"/>
          <w:sz w:val="28"/>
          <w:szCs w:val="28"/>
        </w:rPr>
        <w:t>认证机构</w:t>
      </w:r>
      <w:r>
        <w:rPr>
          <w:rFonts w:hint="eastAsia" w:ascii="仿宋_GB2312" w:eastAsia="仿宋_GB2312"/>
          <w:sz w:val="28"/>
          <w:szCs w:val="28"/>
          <w:lang w:val="en-US" w:eastAsia="zh-CN"/>
        </w:rPr>
        <w:t>为</w:t>
      </w:r>
      <w:r>
        <w:rPr>
          <w:rFonts w:hint="eastAsia" w:ascii="仿宋_GB2312" w:eastAsia="仿宋_GB2312"/>
          <w:sz w:val="28"/>
          <w:szCs w:val="28"/>
        </w:rPr>
        <w:t>确定生产</w:t>
      </w:r>
      <w:r>
        <w:rPr>
          <w:rFonts w:hint="eastAsia" w:ascii="仿宋_GB2312" w:eastAsia="仿宋_GB2312"/>
          <w:sz w:val="28"/>
          <w:szCs w:val="28"/>
          <w:lang w:val="en-US" w:eastAsia="zh-CN"/>
        </w:rPr>
        <w:t>企业的</w:t>
      </w:r>
      <w:r>
        <w:rPr>
          <w:rFonts w:hint="eastAsia" w:ascii="仿宋_GB2312" w:eastAsia="仿宋_GB2312"/>
          <w:sz w:val="28"/>
          <w:szCs w:val="28"/>
        </w:rPr>
        <w:t>质量保证能力和产品一致性控制能力是否符合认证要求而开展的现场检查和评价。</w:t>
      </w:r>
      <w:r>
        <w:rPr>
          <w:rFonts w:hint="eastAsia" w:ascii="仿宋_GB2312" w:hAnsi="Times New Roman" w:eastAsia="仿宋_GB2312" w:cs="Times New Roman"/>
          <w:color w:val="auto"/>
          <w:sz w:val="28"/>
          <w:szCs w:val="28"/>
          <w:lang w:eastAsia="zh-CN"/>
        </w:rPr>
        <w:t>初始工厂检查应在产品检测合格后进行，必要时也可和产品检测同时进行。</w:t>
      </w:r>
    </w:p>
    <w:p>
      <w:pPr>
        <w:spacing w:line="480" w:lineRule="exact"/>
        <w:ind w:firstLine="560"/>
        <w:jc w:val="both"/>
        <w:rPr>
          <w:rFonts w:ascii="仿宋_GB2312" w:eastAsia="仿宋_GB2312"/>
          <w:sz w:val="28"/>
          <w:szCs w:val="28"/>
        </w:rPr>
      </w:pPr>
      <w:r>
        <w:rPr>
          <w:rFonts w:hint="eastAsia" w:ascii="仿宋_GB2312" w:eastAsia="仿宋_GB2312"/>
          <w:sz w:val="28"/>
          <w:szCs w:val="28"/>
        </w:rPr>
        <w:t>认证机构应按照《强制性产品认证实施规则 工厂质量保证能力要求》《强制性产品认证实施规则 工厂检查通用要求》，结合产品特点，制定初始工厂检查要求等具体内容，并在认证实施细则中予以明确。</w:t>
      </w:r>
    </w:p>
    <w:p>
      <w:pPr>
        <w:spacing w:line="480" w:lineRule="exact"/>
        <w:ind w:firstLine="560"/>
        <w:jc w:val="both"/>
        <w:rPr>
          <w:rFonts w:ascii="仿宋_GB2312" w:eastAsia="仿宋_GB2312"/>
          <w:sz w:val="28"/>
          <w:szCs w:val="28"/>
          <w:lang w:eastAsia="zh-CN"/>
        </w:rPr>
      </w:pPr>
      <w:r>
        <w:rPr>
          <w:rFonts w:hint="eastAsia" w:ascii="仿宋_GB2312" w:eastAsia="仿宋_GB2312"/>
          <w:sz w:val="28"/>
          <w:szCs w:val="28"/>
        </w:rPr>
        <w:t>初始工厂</w:t>
      </w:r>
      <w:r>
        <w:rPr>
          <w:rFonts w:hint="eastAsia" w:ascii="仿宋_GB2312" w:hAnsi="Times New Roman" w:eastAsia="仿宋_GB2312" w:cs="Times New Roman"/>
          <w:color w:val="auto"/>
          <w:sz w:val="28"/>
          <w:szCs w:val="28"/>
          <w:lang w:eastAsia="zh-CN"/>
        </w:rPr>
        <w:t>检查应覆盖认证产品的所有加工场所。必要时，认证机构可到生产企业以外的场所实施延伸检查。</w:t>
      </w:r>
    </w:p>
    <w:p>
      <w:pPr>
        <w:pStyle w:val="3"/>
        <w:spacing w:before="0" w:after="0" w:line="480" w:lineRule="exact"/>
        <w:jc w:val="both"/>
        <w:rPr>
          <w:rStyle w:val="59"/>
          <w:rFonts w:ascii="仿宋_GB2312" w:hAnsi="宋体" w:eastAsia="仿宋_GB2312" w:cs="Courier New"/>
          <w:spacing w:val="0"/>
          <w:lang w:eastAsia="zh-CN"/>
        </w:rPr>
      </w:pPr>
      <w:bookmarkStart w:id="33" w:name="_Toc74251162"/>
      <w:r>
        <w:rPr>
          <w:rStyle w:val="59"/>
          <w:rFonts w:hint="eastAsia" w:ascii="仿宋_GB2312" w:hAnsi="宋体" w:eastAsia="仿宋_GB2312" w:cs="方正仿宋简体"/>
          <w:b/>
          <w:bCs/>
          <w:spacing w:val="0"/>
          <w:lang w:eastAsia="zh-CN"/>
        </w:rPr>
        <w:t>6.3</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认证评价与决定</w:t>
      </w:r>
      <w:bookmarkEnd w:id="33"/>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认证机构对产品检测和初始工厂检查结论，以及有关资料/信息进行综合评价，做出认证决定。对符合认证要求的，颁发认证证书。对存在不合格结论的，</w:t>
      </w:r>
      <w:r>
        <w:rPr>
          <w:rFonts w:hint="eastAsia" w:ascii="仿宋_GB2312" w:eastAsia="仿宋_GB2312"/>
          <w:sz w:val="28"/>
          <w:szCs w:val="28"/>
        </w:rPr>
        <w:t>认证终止</w:t>
      </w:r>
      <w:r>
        <w:rPr>
          <w:rFonts w:hint="eastAsia" w:ascii="仿宋_GB2312" w:eastAsia="仿宋_GB2312"/>
          <w:sz w:val="28"/>
          <w:szCs w:val="28"/>
          <w:lang w:eastAsia="zh-CN"/>
        </w:rPr>
        <w:t>，</w:t>
      </w:r>
      <w:r>
        <w:rPr>
          <w:rFonts w:hint="eastAsia" w:ascii="仿宋_GB2312" w:eastAsia="仿宋_GB2312"/>
          <w:sz w:val="28"/>
          <w:szCs w:val="28"/>
        </w:rPr>
        <w:t>认证机构不予</w:t>
      </w:r>
      <w:r>
        <w:rPr>
          <w:rFonts w:hint="eastAsia" w:ascii="仿宋_GB2312" w:eastAsia="仿宋_GB2312"/>
          <w:sz w:val="28"/>
          <w:szCs w:val="28"/>
          <w:lang w:val="en-US" w:eastAsia="zh-CN"/>
        </w:rPr>
        <w:t>颁发</w:t>
      </w:r>
      <w:r>
        <w:rPr>
          <w:rFonts w:hint="eastAsia" w:ascii="仿宋_GB2312" w:eastAsia="仿宋_GB2312"/>
          <w:sz w:val="28"/>
          <w:szCs w:val="28"/>
        </w:rPr>
        <w:t>认证</w:t>
      </w:r>
      <w:r>
        <w:rPr>
          <w:rFonts w:hint="eastAsia" w:ascii="仿宋_GB2312" w:eastAsia="仿宋_GB2312"/>
          <w:sz w:val="28"/>
          <w:szCs w:val="28"/>
          <w:lang w:val="en-US" w:eastAsia="zh-CN"/>
        </w:rPr>
        <w:t>证书</w:t>
      </w:r>
      <w:r>
        <w:rPr>
          <w:rFonts w:hint="eastAsia" w:ascii="仿宋_GB2312" w:eastAsia="仿宋_GB2312"/>
          <w:sz w:val="28"/>
          <w:szCs w:val="28"/>
        </w:rPr>
        <w:t>。</w:t>
      </w:r>
    </w:p>
    <w:p>
      <w:pPr>
        <w:pStyle w:val="3"/>
        <w:spacing w:before="0" w:after="0" w:line="480" w:lineRule="exact"/>
        <w:jc w:val="both"/>
        <w:rPr>
          <w:rStyle w:val="59"/>
          <w:rFonts w:ascii="仿宋_GB2312" w:hAnsi="宋体" w:eastAsia="仿宋_GB2312" w:cs="Courier New"/>
          <w:spacing w:val="0"/>
          <w:lang w:eastAsia="zh-CN"/>
        </w:rPr>
      </w:pPr>
      <w:bookmarkStart w:id="34" w:name="_Toc74251163"/>
      <w:r>
        <w:rPr>
          <w:rStyle w:val="59"/>
          <w:rFonts w:hint="eastAsia" w:ascii="仿宋_GB2312" w:hAnsi="宋体" w:eastAsia="仿宋_GB2312" w:cs="方正仿宋简体"/>
          <w:b/>
          <w:bCs/>
          <w:spacing w:val="0"/>
          <w:lang w:eastAsia="zh-CN"/>
        </w:rPr>
        <w:t>6.4</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认证时限</w:t>
      </w:r>
      <w:bookmarkEnd w:id="34"/>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eastAsia="zh-TW"/>
        </w:rPr>
      </w:pPr>
      <w:bookmarkStart w:id="35" w:name="bookmark29"/>
      <w:r>
        <w:rPr>
          <w:rStyle w:val="58"/>
          <w:rFonts w:hint="eastAsia" w:ascii="仿宋_GB2312" w:hAnsi="宋体" w:eastAsia="仿宋_GB2312" w:cs="方正仿宋简体"/>
          <w:color w:val="000000"/>
          <w:spacing w:val="0"/>
          <w:sz w:val="28"/>
          <w:szCs w:val="28"/>
          <w:lang w:val="zh-TW" w:eastAsia="zh-TW"/>
        </w:rPr>
        <w:t>认证机构应对认证各环节的时限做出明确规定</w:t>
      </w:r>
      <w:r>
        <w:rPr>
          <w:rStyle w:val="58"/>
          <w:rFonts w:hint="eastAsia" w:ascii="仿宋_GB2312" w:hAnsi="宋体" w:eastAsia="仿宋_GB2312" w:cs="方正仿宋简体"/>
          <w:color w:val="000000"/>
          <w:spacing w:val="0"/>
          <w:sz w:val="28"/>
          <w:szCs w:val="28"/>
        </w:rPr>
        <w:t>，</w:t>
      </w:r>
      <w:r>
        <w:rPr>
          <w:rStyle w:val="58"/>
          <w:rFonts w:hint="eastAsia" w:ascii="仿宋_GB2312" w:hAnsi="宋体" w:eastAsia="仿宋_GB2312" w:cs="方正仿宋简体"/>
          <w:color w:val="000000"/>
          <w:spacing w:val="0"/>
          <w:sz w:val="28"/>
          <w:szCs w:val="28"/>
          <w:lang w:val="zh-TW" w:eastAsia="zh-TW"/>
        </w:rPr>
        <w:t>并确保相关工作 按时限要求完成。认证委托人须对认证活动予以积极配合。一般情况下，自受理认证委托起90天内向认证委托人出具认证证书。</w:t>
      </w:r>
      <w:bookmarkEnd w:id="35"/>
    </w:p>
    <w:p>
      <w:pPr>
        <w:pStyle w:val="2"/>
        <w:spacing w:before="0" w:after="0" w:line="480" w:lineRule="exact"/>
        <w:jc w:val="both"/>
        <w:rPr>
          <w:rStyle w:val="55"/>
          <w:rFonts w:ascii="仿宋_GB2312" w:hAnsi="宋体" w:eastAsia="仿宋_GB2312" w:cs="Courier New"/>
          <w:b w:val="0"/>
          <w:bCs w:val="0"/>
          <w:sz w:val="28"/>
          <w:szCs w:val="28"/>
        </w:rPr>
      </w:pPr>
      <w:bookmarkStart w:id="36" w:name="_Toc74251164"/>
      <w:r>
        <w:rPr>
          <w:rStyle w:val="55"/>
          <w:rFonts w:hint="eastAsia" w:ascii="仿宋_GB2312" w:hAnsi="宋体" w:eastAsia="仿宋_GB2312" w:cs="方正仿宋简体"/>
          <w:b/>
          <w:bCs/>
          <w:sz w:val="28"/>
          <w:szCs w:val="28"/>
        </w:rPr>
        <w:t>7</w:t>
      </w:r>
      <w:r>
        <w:rPr>
          <w:rStyle w:val="55"/>
          <w:rFonts w:ascii="仿宋_GB2312" w:hAnsi="宋体" w:eastAsia="PMingLiU" w:cs="方正仿宋简体"/>
          <w:b/>
          <w:bCs/>
          <w:sz w:val="28"/>
          <w:szCs w:val="28"/>
        </w:rPr>
        <w:t xml:space="preserve"> </w:t>
      </w:r>
      <w:r>
        <w:rPr>
          <w:rStyle w:val="55"/>
          <w:rFonts w:hint="eastAsia" w:ascii="仿宋_GB2312" w:hAnsi="Courier New" w:eastAsia="仿宋_GB2312" w:cs="方正仿宋简体"/>
          <w:b/>
          <w:bCs/>
          <w:sz w:val="28"/>
          <w:szCs w:val="28"/>
        </w:rPr>
        <w:t>获证后监督</w:t>
      </w:r>
      <w:bookmarkEnd w:id="36"/>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获证后监督是指认证机构对获证产品及其生产企业实施的监督。认证机构应结合生产企业分类管理和实际情况，在认证实施细则中明确获证后监督方式选择的具体要求。</w:t>
      </w:r>
    </w:p>
    <w:p>
      <w:pPr>
        <w:pStyle w:val="3"/>
        <w:spacing w:before="0" w:after="0" w:line="480" w:lineRule="exact"/>
        <w:jc w:val="both"/>
        <w:rPr>
          <w:rStyle w:val="59"/>
          <w:rFonts w:ascii="仿宋_GB2312" w:hAnsi="宋体" w:eastAsia="仿宋_GB2312" w:cs="Courier New"/>
          <w:spacing w:val="0"/>
          <w:lang w:eastAsia="zh-CN"/>
        </w:rPr>
      </w:pPr>
      <w:bookmarkStart w:id="37" w:name="_Toc74251165"/>
      <w:r>
        <w:rPr>
          <w:rStyle w:val="59"/>
          <w:rFonts w:hint="eastAsia" w:ascii="仿宋_GB2312" w:hAnsi="宋体" w:eastAsia="仿宋_GB2312" w:cs="方正仿宋简体"/>
          <w:b/>
          <w:bCs/>
          <w:spacing w:val="0"/>
          <w:lang w:eastAsia="zh-CN"/>
        </w:rPr>
        <w:t>7.1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获证后的跟踪检查</w:t>
      </w:r>
      <w:bookmarkEnd w:id="37"/>
    </w:p>
    <w:p>
      <w:pPr>
        <w:spacing w:line="480" w:lineRule="exact"/>
        <w:jc w:val="both"/>
        <w:rPr>
          <w:rStyle w:val="59"/>
          <w:rFonts w:ascii="仿宋_GB2312" w:hAnsi="宋体" w:eastAsia="仿宋_GB2312" w:cs="Courier New"/>
          <w:b/>
          <w:bCs/>
          <w:spacing w:val="0"/>
          <w:lang w:eastAsia="zh-CN"/>
        </w:rPr>
      </w:pPr>
      <w:bookmarkStart w:id="38" w:name="bookmark30"/>
      <w:r>
        <w:rPr>
          <w:rStyle w:val="59"/>
          <w:rFonts w:hint="eastAsia" w:ascii="仿宋_GB2312" w:hAnsi="宋体" w:eastAsia="仿宋_GB2312" w:cs="方正仿宋简体"/>
          <w:b/>
          <w:bCs/>
          <w:spacing w:val="0"/>
          <w:lang w:eastAsia="zh-CN"/>
        </w:rPr>
        <w:t>7.1.1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获证后的跟踪检查原则</w:t>
      </w:r>
      <w:bookmarkEnd w:id="38"/>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认证机构应在生产企业分类管理的基础上，对获证产品及其生产企业实施有效的跟踪检查，以验证生产企业的质量保证能力持续符合认证要求、确保获证产品持续符合标准要求并保持与产品检测样品的一致性。</w:t>
      </w:r>
    </w:p>
    <w:p>
      <w:pPr>
        <w:spacing w:line="480" w:lineRule="exact"/>
        <w:ind w:firstLine="560"/>
        <w:jc w:val="both"/>
        <w:rPr>
          <w:rFonts w:ascii="仿宋_GB2312" w:hAnsi="宋体" w:eastAsia="仿宋_GB2312" w:cs="方正仿宋简体"/>
          <w:sz w:val="28"/>
          <w:szCs w:val="28"/>
        </w:rPr>
      </w:pPr>
      <w:bookmarkStart w:id="39" w:name="bookmark31"/>
      <w:r>
        <w:rPr>
          <w:rFonts w:hint="eastAsia" w:ascii="仿宋_GB2312" w:hAnsi="宋体" w:eastAsia="仿宋_GB2312" w:cs="方正仿宋简体"/>
          <w:sz w:val="28"/>
          <w:szCs w:val="28"/>
        </w:rPr>
        <w:t>获证后的跟踪检查应在生产企业正常生产时，优先选择不预先通知被检查方的方式进行。对于非连续生产的产品，认证委托人应向认证机构提交相关生产计划，便于获证后跟踪检查的有效开展。</w:t>
      </w:r>
      <w:bookmarkEnd w:id="39"/>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7.1.2</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获证后的跟踪检查内容</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认证机构应按照《强制性产品认证实施规则  工厂质量保证能力要求》制定获证后跟踪检查要求、产品一致性检查要求、生产企业质量控制检测要求等具体内容，并在认证实施细则中予以明确。</w:t>
      </w:r>
    </w:p>
    <w:p>
      <w:pPr>
        <w:pStyle w:val="3"/>
        <w:spacing w:before="0" w:after="0" w:line="480" w:lineRule="exact"/>
        <w:jc w:val="both"/>
        <w:rPr>
          <w:rStyle w:val="59"/>
          <w:rFonts w:ascii="仿宋_GB2312" w:hAnsi="宋体" w:eastAsia="仿宋_GB2312" w:cs="Courier New"/>
          <w:b/>
          <w:bCs/>
          <w:spacing w:val="0"/>
          <w:lang w:eastAsia="zh-CN"/>
        </w:rPr>
      </w:pPr>
      <w:bookmarkStart w:id="40" w:name="_Toc74251166"/>
      <w:bookmarkStart w:id="41" w:name="bookmark33"/>
      <w:r>
        <w:rPr>
          <w:rStyle w:val="59"/>
          <w:rFonts w:hint="eastAsia" w:ascii="仿宋_GB2312" w:hAnsi="宋体" w:eastAsia="仿宋_GB2312" w:cs="方正仿宋简体"/>
          <w:b/>
          <w:bCs/>
          <w:spacing w:val="0"/>
          <w:lang w:eastAsia="zh-CN"/>
        </w:rPr>
        <w:t>7.2</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生产现场抽取样品检测或者检查</w:t>
      </w:r>
      <w:bookmarkEnd w:id="40"/>
      <w:bookmarkEnd w:id="41"/>
    </w:p>
    <w:p>
      <w:pPr>
        <w:spacing w:line="480" w:lineRule="exact"/>
        <w:jc w:val="both"/>
        <w:rPr>
          <w:rStyle w:val="59"/>
          <w:rFonts w:ascii="仿宋_GB2312" w:hAnsi="宋体" w:eastAsia="仿宋_GB2312" w:cs="Courier New"/>
          <w:b/>
          <w:bCs/>
          <w:spacing w:val="0"/>
          <w:lang w:eastAsia="zh-CN"/>
        </w:rPr>
      </w:pPr>
      <w:bookmarkStart w:id="42" w:name="bookmark34"/>
      <w:r>
        <w:rPr>
          <w:rStyle w:val="59"/>
          <w:rFonts w:hint="eastAsia" w:ascii="仿宋_GB2312" w:hAnsi="宋体" w:eastAsia="仿宋_GB2312" w:cs="方正仿宋简体"/>
          <w:b/>
          <w:bCs/>
          <w:spacing w:val="0"/>
          <w:lang w:eastAsia="zh-CN"/>
        </w:rPr>
        <w:t>7.2.1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生产现场抽取样品检测或者检查原则</w:t>
      </w:r>
      <w:bookmarkEnd w:id="42"/>
    </w:p>
    <w:p>
      <w:pPr>
        <w:autoSpaceDE w:val="0"/>
        <w:autoSpaceDN w:val="0"/>
        <w:spacing w:line="480" w:lineRule="exact"/>
        <w:ind w:firstLine="560" w:firstLineChars="200"/>
        <w:jc w:val="both"/>
        <w:rPr>
          <w:rFonts w:ascii="仿宋_GB2312" w:hAnsi="宋体" w:eastAsia="仿宋_GB2312"/>
          <w:sz w:val="28"/>
          <w:szCs w:val="28"/>
        </w:rPr>
      </w:pPr>
      <w:bookmarkStart w:id="43" w:name="bookmark35"/>
      <w:r>
        <w:rPr>
          <w:rFonts w:hint="eastAsia" w:ascii="仿宋_GB2312" w:hAnsi="宋体" w:eastAsia="仿宋_GB2312" w:cs="方正仿宋简体"/>
          <w:sz w:val="28"/>
          <w:szCs w:val="28"/>
        </w:rPr>
        <w:t>生产现场抽取样品检测或者检查应覆盖所有获证类别。</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采取生产现场抽取样品检测或者检查方式实施获证后监督的，认证委托人、生产者、生产企业应予以配</w:t>
      </w:r>
      <w:r>
        <w:rPr>
          <w:rFonts w:hint="eastAsia" w:ascii="仿宋_GB2312" w:hAnsi="宋体" w:eastAsia="仿宋_GB2312" w:cs="方正仿宋简体"/>
          <w:sz w:val="28"/>
          <w:szCs w:val="28"/>
          <w:lang w:eastAsia="zh-CN"/>
        </w:rPr>
        <w:t>合</w:t>
      </w:r>
      <w:r>
        <w:rPr>
          <w:rFonts w:hint="eastAsia" w:ascii="仿宋_GB2312" w:hAnsi="宋体" w:eastAsia="仿宋_GB2312" w:cs="方正仿宋简体"/>
          <w:sz w:val="28"/>
          <w:szCs w:val="28"/>
        </w:rPr>
        <w:t>。</w:t>
      </w:r>
    </w:p>
    <w:bookmarkEnd w:id="43"/>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7.2.2</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生产现场抽取样品检测或者检查内容</w:t>
      </w:r>
    </w:p>
    <w:p>
      <w:pPr>
        <w:spacing w:line="480" w:lineRule="exact"/>
        <w:ind w:firstLine="560"/>
        <w:jc w:val="both"/>
        <w:rPr>
          <w:rFonts w:ascii="仿宋_GB2312" w:eastAsia="仿宋_GB2312"/>
          <w:sz w:val="28"/>
          <w:szCs w:val="28"/>
        </w:rPr>
      </w:pPr>
      <w:r>
        <w:rPr>
          <w:rFonts w:hint="eastAsia" w:ascii="仿宋_GB2312" w:hAnsi="宋体" w:eastAsia="仿宋_GB2312" w:cs="方正仿宋简体"/>
          <w:sz w:val="28"/>
          <w:szCs w:val="28"/>
        </w:rPr>
        <w:t>认证机构应在认证实施细则中明确生产现场抽样检测或者检查的具体内容和要求，</w:t>
      </w:r>
      <w:r>
        <w:rPr>
          <w:rFonts w:hint="eastAsia" w:ascii="仿宋_GB2312" w:eastAsia="仿宋_GB2312"/>
          <w:sz w:val="28"/>
          <w:szCs w:val="28"/>
        </w:rPr>
        <w:t>生产企业应将需要检测的样品送至指定实验室。</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认证机构也可根据《强制性产品认证实施规则  生产企业检测资源及其他认证结果的利用》制定相应管理程序，利用生产企业检测资源实施抽取样品检测（或目击检测），并由指定实验室出具检测报告。</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认证机构应在认证实施细则中明确具体要求及程序。</w:t>
      </w:r>
    </w:p>
    <w:p>
      <w:pPr>
        <w:pStyle w:val="3"/>
        <w:spacing w:before="0" w:after="0" w:line="480" w:lineRule="exact"/>
        <w:jc w:val="both"/>
        <w:rPr>
          <w:rStyle w:val="58"/>
          <w:rFonts w:ascii="仿宋_GB2312" w:hAnsi="宋体" w:eastAsia="仿宋_GB2312" w:cs="Courier New"/>
          <w:b/>
          <w:bCs/>
          <w:spacing w:val="0"/>
          <w:sz w:val="28"/>
          <w:szCs w:val="28"/>
        </w:rPr>
      </w:pPr>
      <w:bookmarkStart w:id="44" w:name="_Toc74251167"/>
      <w:r>
        <w:rPr>
          <w:rStyle w:val="58"/>
          <w:rFonts w:hint="eastAsia" w:ascii="仿宋_GB2312" w:hAnsi="宋体" w:eastAsia="仿宋_GB2312" w:cs="方正仿宋简体"/>
          <w:b/>
          <w:bCs/>
          <w:spacing w:val="0"/>
          <w:sz w:val="28"/>
          <w:szCs w:val="28"/>
        </w:rPr>
        <w:t>7.3</w:t>
      </w:r>
      <w:r>
        <w:rPr>
          <w:rStyle w:val="58"/>
          <w:rFonts w:ascii="仿宋_GB2312" w:hAnsi="宋体" w:eastAsia="PMingLiU" w:cs="方正仿宋简体"/>
          <w:b/>
          <w:bCs/>
          <w:spacing w:val="0"/>
          <w:sz w:val="28"/>
          <w:szCs w:val="28"/>
        </w:rPr>
        <w:t xml:space="preserve"> </w:t>
      </w:r>
      <w:r>
        <w:rPr>
          <w:rStyle w:val="59"/>
          <w:rFonts w:hint="eastAsia" w:ascii="仿宋_GB2312" w:hAnsi="宋体" w:eastAsia="仿宋_GB2312" w:cs="方正仿宋简体"/>
          <w:b/>
          <w:bCs/>
          <w:spacing w:val="0"/>
          <w:lang w:eastAsia="zh-CN"/>
        </w:rPr>
        <w:t>市场抽样检测或者检查</w:t>
      </w:r>
      <w:bookmarkEnd w:id="44"/>
    </w:p>
    <w:p>
      <w:pPr>
        <w:spacing w:line="480" w:lineRule="exact"/>
        <w:jc w:val="both"/>
        <w:rPr>
          <w:rStyle w:val="59"/>
          <w:rFonts w:ascii="仿宋_GB2312" w:hAnsi="宋体" w:eastAsia="仿宋_GB2312" w:cs="Courier New"/>
          <w:b/>
          <w:bCs/>
          <w:spacing w:val="0"/>
          <w:lang w:eastAsia="zh-CN"/>
        </w:rPr>
      </w:pPr>
      <w:bookmarkStart w:id="45" w:name="bookmark37"/>
      <w:r>
        <w:rPr>
          <w:rStyle w:val="59"/>
          <w:rFonts w:hint="eastAsia" w:ascii="仿宋_GB2312" w:hAnsi="宋体" w:eastAsia="仿宋_GB2312" w:cs="方正仿宋简体"/>
          <w:b/>
          <w:bCs/>
          <w:spacing w:val="0"/>
          <w:lang w:eastAsia="zh-CN"/>
        </w:rPr>
        <w:t>7.3.1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市场抽样检测或者检查原则</w:t>
      </w:r>
      <w:bookmarkEnd w:id="45"/>
    </w:p>
    <w:p>
      <w:pPr>
        <w:spacing w:line="480" w:lineRule="exact"/>
        <w:ind w:firstLine="560"/>
        <w:jc w:val="both"/>
        <w:rPr>
          <w:rFonts w:ascii="仿宋_GB2312" w:hAnsi="宋体" w:eastAsia="仿宋_GB2312" w:cs="方正仿宋简体"/>
          <w:sz w:val="28"/>
          <w:szCs w:val="28"/>
        </w:rPr>
      </w:pPr>
      <w:bookmarkStart w:id="46" w:name="bookmark38"/>
      <w:r>
        <w:rPr>
          <w:rFonts w:hint="eastAsia" w:ascii="仿宋_GB2312" w:hAnsi="宋体" w:eastAsia="仿宋_GB2312" w:cs="方正仿宋简体"/>
          <w:sz w:val="28"/>
          <w:szCs w:val="28"/>
        </w:rPr>
        <w:t>市场抽样检测或者检查应按一定比例覆盖获证产品。</w:t>
      </w:r>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采取市场抽样检测或者检查方式实施监督的，认证委托人、生产者、生产企业应予以配合，并对从市场抽取的样品予以确认。</w:t>
      </w:r>
      <w:bookmarkEnd w:id="46"/>
    </w:p>
    <w:p>
      <w:pPr>
        <w:spacing w:line="480" w:lineRule="exact"/>
        <w:jc w:val="both"/>
        <w:rPr>
          <w:rStyle w:val="59"/>
          <w:rFonts w:ascii="仿宋_GB2312" w:hAnsi="宋体" w:eastAsia="仿宋_GB2312" w:cs="Courier New"/>
          <w:b/>
          <w:bCs/>
          <w:spacing w:val="0"/>
          <w:lang w:eastAsia="zh-CN"/>
        </w:rPr>
      </w:pPr>
      <w:r>
        <w:rPr>
          <w:rStyle w:val="59"/>
          <w:rFonts w:hint="eastAsia" w:ascii="仿宋_GB2312" w:hAnsi="宋体" w:eastAsia="仿宋_GB2312" w:cs="方正仿宋简体"/>
          <w:b/>
          <w:bCs/>
          <w:spacing w:val="0"/>
          <w:lang w:eastAsia="zh-CN"/>
        </w:rPr>
        <w:t>7.3.2</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市场抽样检测或者检查内容</w:t>
      </w:r>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认证机构应在认证实施细则中明确市场抽样检测或者检查的内容和要求。</w:t>
      </w:r>
    </w:p>
    <w:p>
      <w:pPr>
        <w:pStyle w:val="3"/>
        <w:spacing w:before="0" w:after="0" w:line="480" w:lineRule="exact"/>
        <w:jc w:val="both"/>
        <w:rPr>
          <w:rStyle w:val="58"/>
          <w:rFonts w:ascii="仿宋_GB2312" w:eastAsia="仿宋_GB2312" w:cs="Courier New"/>
          <w:b/>
          <w:bCs/>
          <w:spacing w:val="0"/>
          <w:sz w:val="28"/>
          <w:szCs w:val="28"/>
        </w:rPr>
      </w:pPr>
      <w:bookmarkStart w:id="47" w:name="_Toc74251168"/>
      <w:r>
        <w:rPr>
          <w:rStyle w:val="58"/>
          <w:rFonts w:hint="eastAsia" w:ascii="仿宋_GB2312" w:eastAsia="仿宋_GB2312" w:cs="方正仿宋简体"/>
          <w:b/>
          <w:bCs/>
          <w:spacing w:val="0"/>
          <w:sz w:val="28"/>
          <w:szCs w:val="28"/>
        </w:rPr>
        <w:t>7.4</w:t>
      </w:r>
      <w:r>
        <w:rPr>
          <w:rStyle w:val="58"/>
          <w:rFonts w:ascii="仿宋_GB2312" w:eastAsia="PMingLiU" w:cs="方正仿宋简体"/>
          <w:b/>
          <w:bCs/>
          <w:spacing w:val="0"/>
          <w:sz w:val="28"/>
          <w:szCs w:val="28"/>
        </w:rPr>
        <w:t xml:space="preserve"> </w:t>
      </w:r>
      <w:r>
        <w:rPr>
          <w:rStyle w:val="59"/>
          <w:rFonts w:hint="eastAsia" w:ascii="仿宋_GB2312" w:hAnsi="宋体" w:eastAsia="仿宋_GB2312" w:cs="方正仿宋简体"/>
          <w:b/>
          <w:bCs/>
          <w:spacing w:val="0"/>
          <w:lang w:eastAsia="zh-CN"/>
        </w:rPr>
        <w:t>获证后监督的频次和时间</w:t>
      </w:r>
      <w:bookmarkEnd w:id="47"/>
    </w:p>
    <w:p>
      <w:pPr>
        <w:spacing w:line="480" w:lineRule="exact"/>
        <w:ind w:firstLine="560"/>
        <w:jc w:val="both"/>
        <w:rPr>
          <w:rFonts w:ascii="仿宋_GB2312" w:hAnsi="宋体" w:eastAsia="仿宋_GB2312" w:cs="方正仿宋简体"/>
          <w:sz w:val="28"/>
          <w:szCs w:val="28"/>
        </w:rPr>
      </w:pPr>
      <w:bookmarkStart w:id="48" w:name="bookmark40"/>
      <w:r>
        <w:rPr>
          <w:rFonts w:hint="eastAsia" w:ascii="仿宋_GB2312" w:hAnsi="宋体" w:eastAsia="仿宋_GB2312" w:cs="方正仿宋简体"/>
          <w:sz w:val="28"/>
          <w:szCs w:val="28"/>
        </w:rPr>
        <w:t>认证机构应在生产企业分类管理的基础上，对不同类别的生产企业采用不同的获证后监督频次</w:t>
      </w:r>
      <w:bookmarkStart w:id="49" w:name="_Hlk536782013"/>
      <w:r>
        <w:rPr>
          <w:rFonts w:hint="eastAsia" w:ascii="仿宋_GB2312" w:hAnsi="宋体" w:eastAsia="仿宋_GB2312" w:cs="方正仿宋简体"/>
          <w:sz w:val="28"/>
          <w:szCs w:val="28"/>
        </w:rPr>
        <w:t>，合理确定监督时间</w:t>
      </w:r>
      <w:bookmarkEnd w:id="49"/>
      <w:r>
        <w:rPr>
          <w:rFonts w:hint="eastAsia" w:ascii="仿宋_GB2312" w:hAnsi="宋体" w:eastAsia="仿宋_GB2312" w:cs="方正仿宋简体"/>
          <w:sz w:val="28"/>
          <w:szCs w:val="28"/>
        </w:rPr>
        <w:t>，具体原则应在认证实施细则中予以明确。</w:t>
      </w:r>
      <w:bookmarkEnd w:id="48"/>
    </w:p>
    <w:p>
      <w:pPr>
        <w:pStyle w:val="3"/>
        <w:spacing w:before="0" w:after="0" w:line="480" w:lineRule="exact"/>
        <w:jc w:val="both"/>
        <w:rPr>
          <w:rStyle w:val="58"/>
          <w:rFonts w:ascii="仿宋_GB2312" w:eastAsia="仿宋_GB2312" w:cs="Courier New"/>
          <w:b/>
          <w:bCs/>
          <w:spacing w:val="0"/>
          <w:sz w:val="28"/>
          <w:szCs w:val="28"/>
        </w:rPr>
      </w:pPr>
      <w:bookmarkStart w:id="50" w:name="_Toc74251169"/>
      <w:r>
        <w:rPr>
          <w:rStyle w:val="58"/>
          <w:rFonts w:hint="eastAsia" w:ascii="仿宋_GB2312" w:eastAsia="仿宋_GB2312" w:cs="方正仿宋简体"/>
          <w:b/>
          <w:bCs/>
          <w:spacing w:val="0"/>
          <w:sz w:val="28"/>
          <w:szCs w:val="28"/>
        </w:rPr>
        <w:t>7.5</w:t>
      </w:r>
      <w:r>
        <w:rPr>
          <w:rStyle w:val="58"/>
          <w:rFonts w:ascii="仿宋_GB2312" w:eastAsia="PMingLiU" w:cs="方正仿宋简体"/>
          <w:b/>
          <w:bCs/>
          <w:spacing w:val="0"/>
          <w:sz w:val="28"/>
          <w:szCs w:val="28"/>
        </w:rPr>
        <w:t xml:space="preserve"> </w:t>
      </w:r>
      <w:r>
        <w:rPr>
          <w:rStyle w:val="59"/>
          <w:rFonts w:hint="eastAsia" w:ascii="仿宋_GB2312" w:hAnsi="宋体" w:eastAsia="仿宋_GB2312" w:cs="方正仿宋简体"/>
          <w:b/>
          <w:bCs/>
          <w:spacing w:val="0"/>
          <w:lang w:eastAsia="zh-CN"/>
        </w:rPr>
        <w:t>获证后监督的记录</w:t>
      </w:r>
      <w:bookmarkEnd w:id="50"/>
    </w:p>
    <w:p>
      <w:pPr>
        <w:pStyle w:val="8"/>
        <w:shd w:val="clear" w:color="auto" w:fill="auto"/>
        <w:spacing w:before="0" w:line="480" w:lineRule="exact"/>
        <w:ind w:firstLine="560" w:firstLineChars="200"/>
        <w:jc w:val="both"/>
        <w:rPr>
          <w:rFonts w:ascii="仿宋_GB2312" w:hAnsi="宋体" w:eastAsia="仿宋_GB2312" w:cs="Courier New"/>
          <w:spacing w:val="0"/>
          <w:sz w:val="28"/>
          <w:szCs w:val="28"/>
        </w:rPr>
      </w:pPr>
      <w:bookmarkStart w:id="51" w:name="bookmark41"/>
      <w:r>
        <w:rPr>
          <w:rStyle w:val="58"/>
          <w:rFonts w:hint="eastAsia" w:ascii="仿宋_GB2312" w:hAnsi="宋体" w:eastAsia="仿宋_GB2312" w:cs="方正仿宋简体"/>
          <w:color w:val="000000"/>
          <w:spacing w:val="0"/>
          <w:sz w:val="28"/>
          <w:szCs w:val="28"/>
          <w:lang w:val="zh-TW" w:eastAsia="zh-TW"/>
        </w:rPr>
        <w:t>认证机构应当对获证后监督全过程予以记录并归档留存，以保证认证过程和结果具有可追溯性。</w:t>
      </w:r>
      <w:bookmarkEnd w:id="51"/>
    </w:p>
    <w:p>
      <w:pPr>
        <w:pStyle w:val="3"/>
        <w:spacing w:before="0" w:after="0" w:line="480" w:lineRule="exact"/>
        <w:jc w:val="both"/>
        <w:rPr>
          <w:rFonts w:ascii="仿宋_GB2312" w:hAnsi="宋体" w:eastAsia="仿宋_GB2312" w:cs="Courier New"/>
          <w:b/>
          <w:bCs/>
        </w:rPr>
      </w:pPr>
      <w:bookmarkStart w:id="52" w:name="_Toc74251170"/>
      <w:r>
        <w:rPr>
          <w:rStyle w:val="59"/>
          <w:rFonts w:hint="eastAsia" w:ascii="仿宋_GB2312" w:hAnsi="宋体" w:eastAsia="仿宋_GB2312" w:cs="方正仿宋简体"/>
          <w:b/>
          <w:bCs/>
          <w:spacing w:val="0"/>
          <w:lang w:eastAsia="zh-CN"/>
        </w:rPr>
        <w:t>7.6</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获证后监督结果的评价</w:t>
      </w:r>
      <w:bookmarkEnd w:id="52"/>
    </w:p>
    <w:p>
      <w:pPr>
        <w:pStyle w:val="8"/>
        <w:shd w:val="clear" w:color="auto" w:fill="auto"/>
        <w:spacing w:before="0" w:line="480" w:lineRule="exact"/>
        <w:ind w:firstLine="560" w:firstLineChars="200"/>
        <w:jc w:val="both"/>
        <w:rPr>
          <w:rStyle w:val="58"/>
          <w:rFonts w:ascii="仿宋_GB2312" w:hAnsi="宋体" w:eastAsia="仿宋_GB2312" w:cs="方正仿宋简体"/>
          <w:color w:val="000000"/>
          <w:spacing w:val="0"/>
          <w:sz w:val="28"/>
          <w:szCs w:val="28"/>
          <w:lang w:val="zh-TW" w:eastAsia="zh-TW"/>
        </w:rPr>
      </w:pPr>
      <w:bookmarkStart w:id="53" w:name="bookmark42"/>
      <w:r>
        <w:rPr>
          <w:rStyle w:val="58"/>
          <w:rFonts w:hint="eastAsia" w:ascii="仿宋_GB2312" w:eastAsia="仿宋_GB2312" w:cs="方正仿宋简体"/>
          <w:spacing w:val="0"/>
          <w:sz w:val="28"/>
          <w:szCs w:val="28"/>
          <w:lang w:val="zh-TW" w:eastAsia="zh-TW"/>
        </w:rPr>
        <w:t>认证机构对获证后监督结论和有关资料/信息进行综合评阶。评价通过的，可继续保持认证证书、使用认证标志；评价不通过的，认证机构应当根据相应情形做出暂停或者撤销认证证书的处理，并予以公布</w:t>
      </w:r>
      <w:r>
        <w:rPr>
          <w:rStyle w:val="58"/>
          <w:rFonts w:hint="eastAsia" w:ascii="仿宋_GB2312" w:hAnsi="宋体" w:eastAsia="仿宋_GB2312" w:cs="方正仿宋简体"/>
          <w:color w:val="000000"/>
          <w:spacing w:val="0"/>
          <w:sz w:val="28"/>
          <w:szCs w:val="28"/>
          <w:lang w:val="zh-TW" w:eastAsia="zh-TW"/>
        </w:rPr>
        <w:t>。</w:t>
      </w:r>
      <w:bookmarkEnd w:id="53"/>
      <w:bookmarkStart w:id="54" w:name="bookmark43"/>
    </w:p>
    <w:p>
      <w:pPr>
        <w:pStyle w:val="2"/>
        <w:spacing w:before="0" w:after="0" w:line="480" w:lineRule="exact"/>
        <w:jc w:val="both"/>
        <w:rPr>
          <w:rStyle w:val="55"/>
          <w:rFonts w:ascii="仿宋_GB2312" w:hAnsi="宋体" w:eastAsia="仿宋_GB2312" w:cs="Courier New"/>
          <w:b w:val="0"/>
          <w:bCs w:val="0"/>
          <w:sz w:val="28"/>
          <w:szCs w:val="28"/>
        </w:rPr>
      </w:pPr>
      <w:bookmarkStart w:id="55" w:name="_Toc74251171"/>
      <w:r>
        <w:rPr>
          <w:rStyle w:val="55"/>
          <w:rFonts w:hint="eastAsia" w:ascii="仿宋_GB2312" w:hAnsi="宋体" w:eastAsia="仿宋_GB2312" w:cs="方正仿宋简体"/>
          <w:b/>
          <w:bCs/>
          <w:sz w:val="28"/>
          <w:szCs w:val="28"/>
        </w:rPr>
        <w:t>8</w:t>
      </w:r>
      <w:r>
        <w:rPr>
          <w:rStyle w:val="55"/>
          <w:rFonts w:ascii="仿宋_GB2312" w:hAnsi="宋体" w:eastAsia="PMingLiU" w:cs="方正仿宋简体"/>
          <w:b/>
          <w:bCs/>
          <w:sz w:val="28"/>
          <w:szCs w:val="28"/>
        </w:rPr>
        <w:t xml:space="preserve"> </w:t>
      </w:r>
      <w:r>
        <w:rPr>
          <w:rStyle w:val="55"/>
          <w:rFonts w:hint="eastAsia" w:ascii="仿宋_GB2312" w:hAnsi="Courier New" w:eastAsia="仿宋_GB2312" w:cs="方正仿宋简体"/>
          <w:b/>
          <w:bCs/>
          <w:sz w:val="28"/>
          <w:szCs w:val="28"/>
        </w:rPr>
        <w:t>认证证书</w:t>
      </w:r>
      <w:bookmarkEnd w:id="54"/>
      <w:bookmarkEnd w:id="55"/>
    </w:p>
    <w:p>
      <w:pPr>
        <w:pStyle w:val="3"/>
        <w:spacing w:before="0" w:after="0" w:line="480" w:lineRule="exact"/>
        <w:jc w:val="both"/>
        <w:rPr>
          <w:rFonts w:ascii="仿宋_GB2312" w:hAnsi="宋体" w:eastAsia="仿宋_GB2312" w:cs="Courier New"/>
          <w:b/>
          <w:bCs/>
        </w:rPr>
      </w:pPr>
      <w:bookmarkStart w:id="56" w:name="bookmark44"/>
      <w:bookmarkStart w:id="57" w:name="_Toc74251172"/>
      <w:r>
        <w:rPr>
          <w:rStyle w:val="59"/>
          <w:rFonts w:hint="eastAsia" w:ascii="仿宋_GB2312" w:hAnsi="宋体" w:eastAsia="仿宋_GB2312" w:cs="方正仿宋简体"/>
          <w:b/>
          <w:bCs/>
          <w:spacing w:val="0"/>
          <w:lang w:eastAsia="zh-CN"/>
        </w:rPr>
        <w:t>8.1</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认证证书的保持</w:t>
      </w:r>
      <w:bookmarkEnd w:id="56"/>
      <w:bookmarkEnd w:id="57"/>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本规则覆盖产品认证证书的有效期为5年。有效期内，证书的有效性依赖认证机构的获证后监督获得保持。</w:t>
      </w:r>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认证证书有效期届满，需要延续使用的，认证委托人应当在认证证书有效期届满前90天内提出认证委托。证书有效期内最后一次获证后监督结果合格的，认证机构应在接到认证委托后直接换发新证书。</w:t>
      </w:r>
    </w:p>
    <w:p>
      <w:pPr>
        <w:pStyle w:val="3"/>
        <w:spacing w:before="0" w:after="0" w:line="480" w:lineRule="exact"/>
        <w:rPr>
          <w:rStyle w:val="59"/>
          <w:rFonts w:ascii="仿宋_GB2312" w:hAnsi="宋体" w:eastAsia="仿宋_GB2312" w:cs="Courier New"/>
          <w:b/>
          <w:bCs/>
          <w:spacing w:val="0"/>
          <w:lang w:eastAsia="zh-CN"/>
        </w:rPr>
      </w:pPr>
      <w:bookmarkStart w:id="58" w:name="_Toc74251173"/>
      <w:r>
        <w:rPr>
          <w:rStyle w:val="59"/>
          <w:rFonts w:hint="eastAsia" w:ascii="仿宋_GB2312" w:hAnsi="宋体" w:eastAsia="仿宋_GB2312" w:cs="方正仿宋简体"/>
          <w:b/>
          <w:bCs/>
          <w:spacing w:val="0"/>
          <w:lang w:eastAsia="zh-CN"/>
        </w:rPr>
        <w:t>8.2</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认证证书覆盖产品的变更</w:t>
      </w:r>
      <w:bookmarkEnd w:id="58"/>
    </w:p>
    <w:p>
      <w:pPr>
        <w:spacing w:line="480" w:lineRule="exact"/>
        <w:ind w:firstLine="560"/>
        <w:jc w:val="both"/>
        <w:rPr>
          <w:rFonts w:ascii="仿宋_GB2312" w:hAnsi="宋体" w:eastAsia="仿宋_GB2312" w:cs="方正仿宋简体"/>
          <w:sz w:val="28"/>
          <w:szCs w:val="28"/>
        </w:rPr>
      </w:pPr>
      <w:r>
        <w:rPr>
          <w:rFonts w:hint="eastAsia" w:ascii="仿宋_GB2312" w:hAnsi="宋体" w:eastAsia="仿宋_GB2312" w:cs="方正仿宋简体"/>
          <w:sz w:val="28"/>
          <w:szCs w:val="28"/>
        </w:rPr>
        <w:t>产品获证后，如果产品所用关键元器件、涉及产品安全的结构等发生变更，或认证机构在认证实施细则中明确的其他事项发生变更时，认证委托人应向认证机构提出变更委托并获得批准后，方可实施变更。</w:t>
      </w:r>
    </w:p>
    <w:p>
      <w:pPr>
        <w:spacing w:line="480" w:lineRule="exact"/>
        <w:jc w:val="both"/>
        <w:rPr>
          <w:rFonts w:ascii="仿宋_GB2312" w:hAnsi="宋体" w:eastAsia="仿宋_GB2312"/>
          <w:b/>
          <w:bCs/>
          <w:sz w:val="28"/>
          <w:szCs w:val="28"/>
        </w:rPr>
      </w:pPr>
      <w:r>
        <w:rPr>
          <w:rFonts w:hint="eastAsia" w:ascii="仿宋_GB2312" w:hAnsi="宋体" w:eastAsia="仿宋_GB2312" w:cs="方正仿宋简体"/>
          <w:b/>
          <w:bCs/>
          <w:sz w:val="28"/>
          <w:szCs w:val="28"/>
        </w:rPr>
        <w:t>8.2.1 变更委托和要求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认证机构应在认证实施细则中明确认证变更的具体要求，包括认证变更的范围和程序。</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对于隶属同一生产者的多个生产企业的相同产品、相同内容的变更，认证委托人可仅提交一次变更委托，认证机构应对变更涉及的认证证书予以关联使用。</w:t>
      </w:r>
    </w:p>
    <w:p>
      <w:pPr>
        <w:spacing w:line="480" w:lineRule="exact"/>
        <w:jc w:val="both"/>
        <w:rPr>
          <w:rFonts w:ascii="仿宋_GB2312" w:hAnsi="宋体" w:eastAsia="仿宋_GB2312"/>
          <w:b/>
          <w:bCs/>
          <w:sz w:val="28"/>
          <w:szCs w:val="28"/>
        </w:rPr>
      </w:pPr>
      <w:r>
        <w:rPr>
          <w:rFonts w:hint="eastAsia" w:ascii="仿宋_GB2312" w:hAnsi="宋体" w:eastAsia="仿宋_GB2312" w:cs="方正仿宋简体"/>
          <w:b/>
          <w:bCs/>
          <w:sz w:val="28"/>
          <w:szCs w:val="28"/>
        </w:rPr>
        <w:t>8.2.2 变更评价和批准</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认证机构根据变更的内容，对提供的资料进行评价，确定是否可以批准变更。如需样品检测和/或工厂检查，应在检测和/或检查合格后方能批准变更。原则上，应以最初进行</w:t>
      </w:r>
      <w:r>
        <w:rPr>
          <w:rFonts w:hint="eastAsia" w:ascii="仿宋_GB2312" w:hAnsi="宋体" w:eastAsia="仿宋_GB2312" w:cs="方正仿宋简体"/>
          <w:sz w:val="28"/>
          <w:szCs w:val="28"/>
          <w:lang w:eastAsia="zh-CN"/>
        </w:rPr>
        <w:t>产品检测</w:t>
      </w:r>
      <w:r>
        <w:rPr>
          <w:rFonts w:hint="eastAsia" w:ascii="仿宋_GB2312" w:hAnsi="宋体" w:eastAsia="仿宋_GB2312" w:cs="方正仿宋简体"/>
          <w:sz w:val="28"/>
          <w:szCs w:val="28"/>
        </w:rPr>
        <w:t>的代表性型号样品作为变更评价的基础。</w:t>
      </w:r>
    </w:p>
    <w:p>
      <w:pPr>
        <w:pStyle w:val="3"/>
        <w:spacing w:before="0" w:after="0" w:line="480" w:lineRule="exact"/>
        <w:rPr>
          <w:rFonts w:ascii="仿宋_GB2312" w:hAnsi="宋体" w:eastAsia="仿宋_GB2312" w:cs="Courier New"/>
          <w:b/>
          <w:bCs/>
        </w:rPr>
      </w:pPr>
      <w:bookmarkStart w:id="59" w:name="_Toc74251174"/>
      <w:r>
        <w:rPr>
          <w:rStyle w:val="59"/>
          <w:rFonts w:hint="eastAsia" w:ascii="仿宋_GB2312" w:hAnsi="宋体" w:eastAsia="仿宋_GB2312" w:cs="方正仿宋简体"/>
          <w:b/>
          <w:bCs/>
          <w:spacing w:val="0"/>
          <w:lang w:eastAsia="zh-CN"/>
        </w:rPr>
        <w:t>8.3</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认证证书覆盖产品的扩展</w:t>
      </w:r>
      <w:bookmarkEnd w:id="59"/>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认证委托人需要扩展已经获得的认证证书覆盖的产品范围时，应向认证机构提出扩展产品的认证委托。</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机构根据认证委托人提供的扩展产品有关技术资料，核查扩展产品与原认证产品的差异，确认原认证结果对扩展产品的有效性并针对差异做补充试验或对生产现场产品进行检查。核查通过的，由认证机构根据认证委托人的要求单独颁发或换发认证证书。</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原则上，应以最初进行产品检测的代表性型号样品作为扩展评价的基础。</w:t>
      </w:r>
    </w:p>
    <w:p>
      <w:pPr>
        <w:pStyle w:val="3"/>
        <w:spacing w:before="0" w:after="0" w:line="480" w:lineRule="exact"/>
        <w:rPr>
          <w:rFonts w:ascii="仿宋_GB2312" w:hAnsi="宋体" w:eastAsia="仿宋_GB2312" w:cs="Courier New"/>
          <w:b/>
          <w:bCs/>
        </w:rPr>
      </w:pPr>
      <w:bookmarkStart w:id="60" w:name="_Toc74251175"/>
      <w:r>
        <w:rPr>
          <w:rStyle w:val="59"/>
          <w:rFonts w:hint="eastAsia" w:ascii="仿宋_GB2312" w:hAnsi="宋体" w:eastAsia="仿宋_GB2312" w:cs="方正仿宋简体"/>
          <w:b/>
          <w:bCs/>
          <w:spacing w:val="0"/>
          <w:lang w:eastAsia="zh-CN"/>
        </w:rPr>
        <w:t>8.4</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认证证书的注销</w:t>
      </w:r>
      <w:r>
        <w:rPr>
          <w:rStyle w:val="58"/>
          <w:rFonts w:hint="eastAsia" w:ascii="仿宋_GB2312" w:hAnsi="宋体" w:eastAsia="仿宋_GB2312" w:cs="方正仿宋简体"/>
          <w:b/>
          <w:bCs/>
          <w:spacing w:val="0"/>
          <w:sz w:val="28"/>
          <w:szCs w:val="28"/>
        </w:rPr>
        <w:t>、暂停和撤销</w:t>
      </w:r>
      <w:bookmarkEnd w:id="60"/>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证书的注销、暂停和撤销依据《强制性产品认证管理规定》和《强制性产品认证证书注销、暂停、撤销实施规则》及认证机构的有关规定执行。认证机构应确定不符合认证要求的产品类别和范围，并采取适当方式对外公告被注销、暂停、撤销的认证证书。</w:t>
      </w:r>
    </w:p>
    <w:p>
      <w:pPr>
        <w:pStyle w:val="3"/>
        <w:spacing w:before="0" w:after="0" w:line="480" w:lineRule="exact"/>
        <w:rPr>
          <w:rFonts w:ascii="仿宋_GB2312" w:hAnsi="宋体" w:eastAsia="仿宋_GB2312" w:cs="Courier New"/>
          <w:b/>
          <w:bCs/>
        </w:rPr>
      </w:pPr>
      <w:bookmarkStart w:id="61" w:name="_Toc74251176"/>
      <w:r>
        <w:rPr>
          <w:rStyle w:val="59"/>
          <w:rFonts w:hint="eastAsia" w:ascii="仿宋_GB2312" w:hAnsi="宋体" w:eastAsia="仿宋_GB2312" w:cs="方正仿宋简体"/>
          <w:b/>
          <w:bCs/>
          <w:spacing w:val="0"/>
          <w:lang w:eastAsia="zh-CN"/>
        </w:rPr>
        <w:t>8.5</w:t>
      </w:r>
      <w:r>
        <w:rPr>
          <w:rStyle w:val="59"/>
          <w:rFonts w:ascii="仿宋_GB2312" w:hAnsi="宋体" w:eastAsia="仿宋_GB2312" w:cs="方正仿宋简体"/>
          <w:b/>
          <w:bCs/>
          <w:spacing w:val="0"/>
          <w:lang w:eastAsia="zh-CN"/>
        </w:rPr>
        <w:t xml:space="preserve"> </w:t>
      </w:r>
      <w:r>
        <w:rPr>
          <w:rStyle w:val="59"/>
          <w:rFonts w:hint="eastAsia" w:ascii="仿宋_GB2312" w:hAnsi="宋体" w:eastAsia="仿宋_GB2312" w:cs="方正仿宋简体"/>
          <w:b/>
          <w:bCs/>
          <w:spacing w:val="0"/>
          <w:lang w:eastAsia="zh-CN"/>
        </w:rPr>
        <w:t>认证证书的使用</w:t>
      </w:r>
      <w:bookmarkEnd w:id="61"/>
    </w:p>
    <w:p>
      <w:pPr>
        <w:autoSpaceDE w:val="0"/>
        <w:autoSpaceDN w:val="0"/>
        <w:spacing w:line="480" w:lineRule="exact"/>
        <w:ind w:firstLine="560" w:firstLineChars="200"/>
        <w:jc w:val="both"/>
        <w:rPr>
          <w:rFonts w:ascii="仿宋_GB2312" w:hAnsi="宋体" w:eastAsia="仿宋_GB2312" w:cs="方正仿宋简体"/>
          <w:sz w:val="28"/>
          <w:szCs w:val="28"/>
        </w:rPr>
      </w:pPr>
      <w:bookmarkStart w:id="62" w:name="bookmark49"/>
      <w:r>
        <w:rPr>
          <w:rFonts w:hint="eastAsia" w:ascii="仿宋_GB2312" w:hAnsi="宋体" w:eastAsia="仿宋_GB2312" w:cs="方正仿宋简体"/>
          <w:sz w:val="28"/>
          <w:szCs w:val="28"/>
        </w:rPr>
        <w:t>认证证书的使用应符合《强制性产品认证管理规定》的要求。</w:t>
      </w:r>
      <w:bookmarkEnd w:id="62"/>
    </w:p>
    <w:p>
      <w:pPr>
        <w:pStyle w:val="2"/>
        <w:spacing w:before="0" w:after="0" w:line="480" w:lineRule="exact"/>
        <w:rPr>
          <w:rStyle w:val="55"/>
          <w:rFonts w:ascii="仿宋_GB2312" w:hAnsi="宋体" w:eastAsia="仿宋_GB2312" w:cs="Courier New"/>
          <w:b w:val="0"/>
          <w:bCs w:val="0"/>
          <w:sz w:val="28"/>
          <w:szCs w:val="28"/>
        </w:rPr>
      </w:pPr>
      <w:bookmarkStart w:id="63" w:name="_Toc74251177"/>
      <w:r>
        <w:rPr>
          <w:rStyle w:val="55"/>
          <w:rFonts w:hint="eastAsia" w:ascii="仿宋_GB2312" w:hAnsi="宋体" w:eastAsia="仿宋_GB2312" w:cs="方正仿宋简体"/>
          <w:b/>
          <w:bCs/>
          <w:sz w:val="28"/>
          <w:szCs w:val="28"/>
        </w:rPr>
        <w:t>9 认证标志</w:t>
      </w:r>
      <w:bookmarkEnd w:id="63"/>
    </w:p>
    <w:p>
      <w:pPr>
        <w:pStyle w:val="8"/>
        <w:shd w:val="clear" w:color="auto" w:fill="auto"/>
        <w:spacing w:before="0" w:line="480" w:lineRule="exact"/>
        <w:ind w:firstLine="560" w:firstLineChars="200"/>
        <w:jc w:val="both"/>
        <w:rPr>
          <w:rFonts w:ascii="仿宋_GB2312" w:hAnsi="宋体" w:eastAsia="仿宋_GB2312" w:cs="方正仿宋简体"/>
          <w:color w:val="000000"/>
          <w:spacing w:val="0"/>
          <w:sz w:val="28"/>
          <w:szCs w:val="28"/>
          <w:lang w:val="zh-TW" w:eastAsia="zh-TW"/>
        </w:rPr>
      </w:pPr>
      <w:bookmarkStart w:id="64" w:name="_Hlk536783702"/>
      <w:r>
        <w:rPr>
          <w:rFonts w:hint="eastAsia" w:ascii="仿宋_GB2312" w:hAnsi="宋体" w:eastAsia="仿宋_GB2312" w:cs="方正仿宋简体"/>
          <w:color w:val="000000"/>
          <w:spacing w:val="0"/>
          <w:sz w:val="28"/>
          <w:szCs w:val="28"/>
          <w:lang w:val="zh-TW" w:eastAsia="zh-TW"/>
        </w:rPr>
        <w:t>认证标志的管理、使用应当符合《强制性产品认证标志管理办法》的规定。</w:t>
      </w:r>
      <w:bookmarkStart w:id="65" w:name="bookmark50"/>
    </w:p>
    <w:bookmarkEnd w:id="64"/>
    <w:p>
      <w:pPr>
        <w:pStyle w:val="3"/>
        <w:spacing w:before="0" w:after="0" w:line="480" w:lineRule="exact"/>
        <w:jc w:val="both"/>
        <w:rPr>
          <w:rStyle w:val="59"/>
          <w:rFonts w:ascii="仿宋_GB2312" w:hAnsi="宋体" w:eastAsia="仿宋_GB2312" w:cs="方正仿宋简体"/>
          <w:color w:val="auto"/>
          <w:spacing w:val="0"/>
          <w:lang w:eastAsia="zh-CN"/>
        </w:rPr>
      </w:pPr>
      <w:bookmarkStart w:id="66" w:name="_Toc74251178"/>
      <w:r>
        <w:rPr>
          <w:rStyle w:val="59"/>
          <w:rFonts w:hint="eastAsia" w:ascii="仿宋_GB2312" w:hAnsi="宋体" w:eastAsia="仿宋_GB2312" w:cs="方正仿宋简体"/>
          <w:b/>
          <w:color w:val="auto"/>
          <w:spacing w:val="0"/>
          <w:lang w:eastAsia="zh-CN"/>
        </w:rPr>
        <w:t>9.1</w:t>
      </w:r>
      <w:r>
        <w:rPr>
          <w:rStyle w:val="59"/>
          <w:rFonts w:ascii="仿宋_GB2312" w:hAnsi="宋体" w:eastAsia="仿宋_GB2312" w:cs="方正仿宋简体"/>
          <w:b/>
          <w:color w:val="auto"/>
          <w:spacing w:val="0"/>
          <w:lang w:eastAsia="zh-CN"/>
        </w:rPr>
        <w:t xml:space="preserve"> </w:t>
      </w:r>
      <w:r>
        <w:rPr>
          <w:rStyle w:val="59"/>
          <w:rFonts w:hint="eastAsia" w:ascii="仿宋_GB2312" w:hAnsi="宋体" w:eastAsia="仿宋_GB2312" w:cs="方正仿宋简体"/>
          <w:b/>
          <w:bCs/>
          <w:color w:val="auto"/>
          <w:spacing w:val="0"/>
          <w:lang w:eastAsia="zh-CN"/>
        </w:rPr>
        <w:t>准许使用的标志式样</w:t>
      </w:r>
      <w:bookmarkEnd w:id="66"/>
    </w:p>
    <w:p>
      <w:pPr>
        <w:pStyle w:val="8"/>
        <w:shd w:val="clear" w:color="auto" w:fill="auto"/>
        <w:spacing w:before="0" w:line="480" w:lineRule="exact"/>
        <w:ind w:firstLine="680" w:firstLineChars="200"/>
        <w:jc w:val="both"/>
        <w:rPr>
          <w:rFonts w:ascii="仿宋_GB2312" w:hAnsi="宋体" w:eastAsia="仿宋_GB2312" w:cs="方正仿宋简体"/>
          <w:color w:val="000000"/>
          <w:spacing w:val="0"/>
          <w:sz w:val="28"/>
          <w:szCs w:val="28"/>
          <w:lang w:eastAsia="zh-TW"/>
        </w:rPr>
      </w:pPr>
      <w:r>
        <w:rPr>
          <w:rFonts w:hint="eastAsia" w:ascii="仿宋_GB2312" w:eastAsia="仿宋_GB2312"/>
          <w:sz w:val="28"/>
          <w:szCs w:val="28"/>
          <w:lang w:val="zh-TW"/>
        </w:rPr>
        <w:t>本规则覆盖产品的认证标志式样如下图所示：</w:t>
      </w:r>
      <w:r>
        <w:rPr>
          <w:rFonts w:hint="eastAsia" w:ascii="仿宋_GB2312" w:hAnsi="宋体" w:eastAsia="仿宋_GB2312"/>
          <w:sz w:val="28"/>
          <w:szCs w:val="28"/>
        </w:rPr>
        <w:drawing>
          <wp:anchor distT="0" distB="0" distL="114300" distR="114300" simplePos="0" relativeHeight="251659264" behindDoc="0" locked="0" layoutInCell="1" allowOverlap="0">
            <wp:simplePos x="0" y="0"/>
            <wp:positionH relativeFrom="column">
              <wp:posOffset>1830705</wp:posOffset>
            </wp:positionH>
            <wp:positionV relativeFrom="paragraph">
              <wp:posOffset>349250</wp:posOffset>
            </wp:positionV>
            <wp:extent cx="1703070" cy="1119505"/>
            <wp:effectExtent l="0" t="0" r="0" b="444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02800" cy="1119600"/>
                    </a:xfrm>
                    <a:prstGeom prst="rect">
                      <a:avLst/>
                    </a:prstGeom>
                    <a:noFill/>
                    <a:ln>
                      <a:noFill/>
                    </a:ln>
                  </pic:spPr>
                </pic:pic>
              </a:graphicData>
            </a:graphic>
          </wp:anchor>
        </w:drawing>
      </w:r>
    </w:p>
    <w:p>
      <w:pPr>
        <w:pStyle w:val="3"/>
        <w:spacing w:before="0" w:after="0" w:line="480" w:lineRule="exact"/>
        <w:jc w:val="both"/>
        <w:rPr>
          <w:rStyle w:val="59"/>
          <w:rFonts w:ascii="仿宋_GB2312" w:hAnsi="宋体" w:eastAsia="仿宋_GB2312" w:cs="方正仿宋简体"/>
          <w:b/>
          <w:color w:val="auto"/>
          <w:spacing w:val="0"/>
          <w:lang w:eastAsia="zh-CN"/>
        </w:rPr>
      </w:pPr>
      <w:bookmarkStart w:id="67" w:name="_Toc74251179"/>
      <w:bookmarkStart w:id="68" w:name="_Toc526084304"/>
      <w:r>
        <w:rPr>
          <w:rStyle w:val="59"/>
          <w:rFonts w:hint="eastAsia" w:ascii="仿宋_GB2312" w:hAnsi="宋体" w:eastAsia="仿宋_GB2312" w:cs="方正仿宋简体"/>
          <w:b/>
          <w:color w:val="auto"/>
          <w:spacing w:val="0"/>
          <w:lang w:eastAsia="zh-CN"/>
        </w:rPr>
        <w:t>9.2 标注方式</w:t>
      </w:r>
      <w:bookmarkEnd w:id="67"/>
      <w:bookmarkEnd w:id="68"/>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可采用认监委统一印制的标准规格认证标志或非标准规格印刷/模压认证标志。</w:t>
      </w:r>
    </w:p>
    <w:bookmarkEnd w:id="65"/>
    <w:p>
      <w:pPr>
        <w:pStyle w:val="2"/>
        <w:spacing w:before="0" w:after="0" w:line="480" w:lineRule="exact"/>
        <w:jc w:val="both"/>
        <w:rPr>
          <w:rFonts w:ascii="仿宋_GB2312" w:eastAsia="仿宋_GB2312" w:cs="Courier New"/>
          <w:b w:val="0"/>
          <w:bCs w:val="0"/>
        </w:rPr>
      </w:pPr>
      <w:bookmarkStart w:id="69" w:name="bookmark51"/>
      <w:bookmarkStart w:id="70" w:name="_Toc74251180"/>
      <w:r>
        <w:rPr>
          <w:rStyle w:val="55"/>
          <w:rFonts w:hint="eastAsia" w:ascii="仿宋_GB2312" w:hAnsi="宋体" w:eastAsia="仿宋_GB2312" w:cs="方正仿宋简体"/>
          <w:b/>
          <w:bCs/>
          <w:sz w:val="28"/>
          <w:szCs w:val="28"/>
        </w:rPr>
        <w:t>1</w:t>
      </w:r>
      <w:r>
        <w:rPr>
          <w:rStyle w:val="55"/>
          <w:rFonts w:hint="eastAsia" w:ascii="仿宋_GB2312" w:hAnsi="宋体" w:eastAsia="仿宋_GB2312" w:cs="方正仿宋简体"/>
          <w:b/>
          <w:bCs/>
          <w:sz w:val="28"/>
          <w:szCs w:val="28"/>
          <w:lang w:eastAsia="zh-CN"/>
        </w:rPr>
        <w:t>0</w:t>
      </w:r>
      <w:bookmarkEnd w:id="69"/>
      <w:r>
        <w:rPr>
          <w:rStyle w:val="55"/>
          <w:rFonts w:ascii="仿宋_GB2312" w:hAnsi="宋体" w:eastAsia="PMingLiU" w:cs="方正仿宋简体"/>
          <w:b/>
          <w:bCs/>
          <w:sz w:val="28"/>
          <w:szCs w:val="28"/>
        </w:rPr>
        <w:t xml:space="preserve"> </w:t>
      </w:r>
      <w:r>
        <w:rPr>
          <w:rStyle w:val="55"/>
          <w:rFonts w:hint="eastAsia" w:ascii="仿宋_GB2312" w:hAnsi="Courier New" w:eastAsia="仿宋_GB2312" w:cs="方正仿宋简体"/>
          <w:b/>
          <w:bCs/>
          <w:sz w:val="28"/>
          <w:szCs w:val="28"/>
        </w:rPr>
        <w:t>收费</w:t>
      </w:r>
      <w:bookmarkEnd w:id="70"/>
    </w:p>
    <w:p>
      <w:pPr>
        <w:spacing w:line="480" w:lineRule="exact"/>
        <w:ind w:firstLine="560"/>
        <w:jc w:val="both"/>
        <w:rPr>
          <w:rFonts w:ascii="仿宋_GB2312" w:eastAsia="仿宋_GB2312"/>
          <w:sz w:val="28"/>
          <w:szCs w:val="28"/>
        </w:rPr>
      </w:pPr>
      <w:r>
        <w:rPr>
          <w:rFonts w:hint="eastAsia" w:ascii="仿宋_GB2312" w:eastAsia="仿宋_GB2312"/>
          <w:sz w:val="28"/>
          <w:szCs w:val="28"/>
        </w:rPr>
        <w:t>认证收费按照认证机构和实验室公开的强制性产品认证收费标准收取。</w:t>
      </w:r>
    </w:p>
    <w:p>
      <w:pPr>
        <w:pStyle w:val="2"/>
        <w:spacing w:before="0" w:after="0" w:line="480" w:lineRule="exact"/>
        <w:jc w:val="both"/>
        <w:rPr>
          <w:rStyle w:val="55"/>
          <w:rFonts w:ascii="仿宋_GB2312" w:hAnsi="宋体" w:eastAsia="仿宋_GB2312" w:cs="方正仿宋简体"/>
          <w:b w:val="0"/>
          <w:bCs w:val="0"/>
          <w:sz w:val="28"/>
          <w:szCs w:val="28"/>
        </w:rPr>
      </w:pPr>
      <w:bookmarkStart w:id="71" w:name="_Toc74251181"/>
      <w:bookmarkStart w:id="72" w:name="_Toc526084306"/>
      <w:r>
        <w:rPr>
          <w:rStyle w:val="55"/>
          <w:rFonts w:hint="eastAsia" w:ascii="仿宋_GB2312" w:hAnsi="宋体" w:eastAsia="仿宋_GB2312" w:cs="方正仿宋简体"/>
          <w:b/>
          <w:bCs w:val="0"/>
          <w:sz w:val="28"/>
          <w:szCs w:val="28"/>
        </w:rPr>
        <w:t>11</w:t>
      </w:r>
      <w:r>
        <w:rPr>
          <w:rStyle w:val="55"/>
          <w:rFonts w:ascii="仿宋_GB2312" w:hAnsi="宋体" w:eastAsia="PMingLiU" w:cs="方正仿宋简体"/>
          <w:b/>
          <w:bCs w:val="0"/>
          <w:sz w:val="28"/>
          <w:szCs w:val="28"/>
        </w:rPr>
        <w:t xml:space="preserve"> </w:t>
      </w:r>
      <w:r>
        <w:rPr>
          <w:rStyle w:val="55"/>
          <w:rFonts w:hint="eastAsia" w:ascii="仿宋_GB2312" w:hAnsi="宋体" w:eastAsia="仿宋_GB2312" w:cs="方正仿宋简体"/>
          <w:b/>
          <w:bCs/>
          <w:sz w:val="28"/>
          <w:szCs w:val="28"/>
        </w:rPr>
        <w:t>认证责任</w:t>
      </w:r>
      <w:bookmarkEnd w:id="71"/>
      <w:bookmarkEnd w:id="72"/>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认证机构应对其做出的认证结论负责。</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实验室应对检测结果和检测报告负责。</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认证机构及其所委派的工厂检查员应对工厂检查结论负责。</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认证委托人应对其所提交的委托资料及样品的真实性、合法性负责。</w:t>
      </w:r>
    </w:p>
    <w:p>
      <w:pPr>
        <w:autoSpaceDE w:val="0"/>
        <w:autoSpaceDN w:val="0"/>
        <w:spacing w:line="480" w:lineRule="exact"/>
        <w:ind w:firstLine="560" w:firstLineChars="200"/>
        <w:jc w:val="both"/>
        <w:rPr>
          <w:rFonts w:ascii="仿宋_GB2312" w:hAnsi="宋体" w:eastAsia="仿宋_GB2312" w:cs="方正仿宋简体"/>
          <w:sz w:val="28"/>
          <w:szCs w:val="28"/>
        </w:rPr>
      </w:pPr>
    </w:p>
    <w:p>
      <w:pPr>
        <w:pStyle w:val="2"/>
        <w:spacing w:before="0" w:after="0" w:line="480" w:lineRule="exact"/>
        <w:jc w:val="both"/>
        <w:rPr>
          <w:rStyle w:val="55"/>
          <w:rFonts w:ascii="仿宋_GB2312" w:hAnsi="宋体" w:eastAsia="仿宋_GB2312" w:cs="方正仿宋简体"/>
          <w:b/>
          <w:bCs/>
          <w:sz w:val="28"/>
          <w:szCs w:val="28"/>
        </w:rPr>
      </w:pPr>
      <w:bookmarkStart w:id="73" w:name="_Toc526084307"/>
      <w:bookmarkStart w:id="74" w:name="_Toc74251182"/>
      <w:r>
        <w:rPr>
          <w:rStyle w:val="55"/>
          <w:rFonts w:hint="eastAsia" w:ascii="仿宋_GB2312" w:hAnsi="宋体" w:eastAsia="仿宋_GB2312" w:cs="方正仿宋简体"/>
          <w:b/>
          <w:bCs/>
          <w:sz w:val="28"/>
          <w:szCs w:val="28"/>
        </w:rPr>
        <w:t xml:space="preserve">12 </w:t>
      </w:r>
      <w:r>
        <w:rPr>
          <w:rStyle w:val="55"/>
          <w:rFonts w:hint="eastAsia" w:ascii="仿宋_GB2312" w:hAnsi="宋体" w:eastAsia="仿宋_GB2312" w:cs="方正仿宋简体"/>
          <w:b/>
          <w:bCs w:val="0"/>
          <w:sz w:val="28"/>
          <w:szCs w:val="28"/>
        </w:rPr>
        <w:t>认证实施细则</w:t>
      </w:r>
      <w:bookmarkEnd w:id="73"/>
      <w:bookmarkEnd w:id="74"/>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认证机构应依据本实施规则的原则和要求，制定科学、合理、可操作的认证实施细则。认证实施细则应在向认监委备案后对外公布实施。认证实施细则应至少包括以下内容：</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（1）认证流程及时限要求；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（2）认证模式的选择及相关要求；</w:t>
      </w:r>
    </w:p>
    <w:p>
      <w:pPr>
        <w:autoSpaceDE w:val="0"/>
        <w:autoSpaceDN w:val="0"/>
        <w:spacing w:line="480" w:lineRule="exact"/>
        <w:ind w:firstLine="560" w:firstLineChars="200"/>
        <w:jc w:val="both"/>
        <w:rPr>
          <w:rFonts w:ascii="仿宋_GB2312" w:hAnsi="宋体" w:eastAsia="仿宋_GB2312" w:cs="方正仿宋简体"/>
          <w:sz w:val="28"/>
          <w:szCs w:val="28"/>
        </w:rPr>
      </w:pPr>
      <w:r>
        <w:rPr>
          <w:rFonts w:hint="eastAsia" w:ascii="仿宋_GB2312" w:hAnsi="宋体" w:eastAsia="仿宋_GB2312" w:cs="方正仿宋简体"/>
          <w:sz w:val="28"/>
          <w:szCs w:val="28"/>
        </w:rPr>
        <w:t>（3）生产企业分类管理要求；</w:t>
      </w:r>
    </w:p>
    <w:p>
      <w:pPr>
        <w:spacing w:line="480" w:lineRule="exact"/>
        <w:ind w:firstLine="560"/>
        <w:jc w:val="both"/>
        <w:rPr>
          <w:rFonts w:ascii="仿宋_GB2312" w:eastAsia="仿宋_GB2312"/>
          <w:sz w:val="28"/>
          <w:szCs w:val="28"/>
        </w:rPr>
      </w:pPr>
      <w:r>
        <w:rPr>
          <w:rFonts w:hint="eastAsia" w:ascii="仿宋_GB2312" w:eastAsia="仿宋_GB2312"/>
          <w:sz w:val="28"/>
          <w:szCs w:val="28"/>
        </w:rPr>
        <w:t>（4）单元划分的细则及相关要求；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（5）认证委托资料及相关要求；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（6）样品检测要求（包括</w:t>
      </w:r>
      <w:r>
        <w:rPr>
          <w:rFonts w:hint="eastAsia" w:ascii="仿宋_GB2312" w:hAnsi="宋体" w:eastAsia="仿宋_GB2312" w:cs="方正仿宋简体"/>
          <w:sz w:val="28"/>
          <w:szCs w:val="28"/>
          <w:lang w:eastAsia="zh-CN"/>
        </w:rPr>
        <w:t>产品检测</w:t>
      </w:r>
      <w:r>
        <w:rPr>
          <w:rFonts w:hint="eastAsia" w:ascii="仿宋_GB2312" w:hAnsi="宋体" w:eastAsia="仿宋_GB2312" w:cs="方正仿宋简体"/>
          <w:sz w:val="28"/>
          <w:szCs w:val="28"/>
        </w:rPr>
        <w:t>、生产现场/市场抽样检测、利用生产企业检测资源实施检测的要求）；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（7）初始工厂检查及获证后监督要求（包括工厂检查的覆盖性要求</w:t>
      </w:r>
      <w:bookmarkStart w:id="75" w:name="_Hlk536783940"/>
      <w:r>
        <w:rPr>
          <w:rFonts w:hint="eastAsia" w:ascii="仿宋_GB2312" w:hAnsi="宋体" w:eastAsia="仿宋_GB2312" w:cs="方正仿宋简体"/>
          <w:sz w:val="28"/>
          <w:szCs w:val="28"/>
        </w:rPr>
        <w:t>（含产品类别的划分）</w:t>
      </w:r>
      <w:bookmarkEnd w:id="75"/>
      <w:r>
        <w:rPr>
          <w:rFonts w:hint="eastAsia" w:ascii="仿宋_GB2312" w:hAnsi="宋体" w:eastAsia="仿宋_GB2312" w:cs="方正仿宋简体"/>
          <w:sz w:val="28"/>
          <w:szCs w:val="28"/>
        </w:rPr>
        <w:t>、企业质量保证能力和产品一致性检查要求、生产企业质量控制检测要求、关键元器件质量控制检测要求、0DM/OEM模式的工厂检查要求、监督频次、抽样检测或检查的相关要求等）；</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（8）认证变更（含标准换版）的要求；</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（9）关键元器件清单；</w:t>
      </w:r>
    </w:p>
    <w:p>
      <w:pPr>
        <w:autoSpaceDE w:val="0"/>
        <w:autoSpaceDN w:val="0"/>
        <w:spacing w:line="480" w:lineRule="exact"/>
        <w:ind w:firstLine="560" w:firstLineChars="200"/>
        <w:jc w:val="both"/>
        <w:rPr>
          <w:rFonts w:ascii="仿宋_GB2312" w:hAnsi="宋体" w:eastAsia="仿宋_GB2312"/>
          <w:sz w:val="28"/>
          <w:szCs w:val="28"/>
        </w:rPr>
      </w:pPr>
      <w:r>
        <w:rPr>
          <w:rFonts w:hint="eastAsia" w:ascii="仿宋_GB2312" w:hAnsi="宋体" w:eastAsia="仿宋_GB2312" w:cs="方正仿宋简体"/>
          <w:sz w:val="28"/>
          <w:szCs w:val="28"/>
        </w:rPr>
        <w:t>（10）收费依据及相关要求；</w:t>
      </w:r>
    </w:p>
    <w:p>
      <w:pPr>
        <w:autoSpaceDE w:val="0"/>
        <w:autoSpaceDN w:val="0"/>
        <w:spacing w:line="480" w:lineRule="exact"/>
        <w:ind w:firstLine="560" w:firstLineChars="200"/>
        <w:jc w:val="both"/>
        <w:rPr>
          <w:rFonts w:ascii="方正仿宋简体" w:hAnsi="宋体" w:eastAsia="方正仿宋简体"/>
          <w:sz w:val="28"/>
          <w:szCs w:val="28"/>
          <w:lang w:eastAsia="zh-CN"/>
        </w:rPr>
      </w:pPr>
      <w:r>
        <w:rPr>
          <w:rFonts w:hint="eastAsia" w:ascii="仿宋_GB2312" w:hAnsi="宋体" w:eastAsia="仿宋_GB2312" w:cs="方正仿宋简体"/>
          <w:sz w:val="28"/>
          <w:szCs w:val="28"/>
        </w:rPr>
        <w:t>（11）与技术争议、申诉相关的流程及时限要求</w:t>
      </w:r>
      <w:r>
        <w:rPr>
          <w:rFonts w:hint="eastAsia" w:ascii="仿宋_GB2312" w:hAnsi="宋体" w:eastAsia="仿宋_GB2312" w:cs="方正仿宋简体"/>
          <w:sz w:val="28"/>
          <w:szCs w:val="28"/>
          <w:lang w:eastAsia="zh-CN"/>
        </w:rPr>
        <w:t>。</w:t>
      </w:r>
      <w:r>
        <w:rPr>
          <w:rFonts w:hint="eastAsia" w:ascii="方正仿宋简体" w:hAnsi="宋体" w:eastAsia="方正仿宋简体"/>
          <w:sz w:val="28"/>
          <w:szCs w:val="28"/>
          <w:lang w:eastAsia="zh-CN"/>
        </w:rPr>
        <w:br w:type="page"/>
      </w:r>
    </w:p>
    <w:p>
      <w:pPr>
        <w:pStyle w:val="2"/>
        <w:spacing w:before="0" w:after="0" w:line="480" w:lineRule="exact"/>
        <w:rPr>
          <w:rStyle w:val="55"/>
          <w:rFonts w:ascii="黑体" w:hAnsi="黑体" w:eastAsia="黑体" w:cs="方正仿宋简体"/>
          <w:b w:val="0"/>
          <w:bCs w:val="0"/>
          <w:sz w:val="28"/>
          <w:szCs w:val="28"/>
        </w:rPr>
      </w:pPr>
      <w:bookmarkStart w:id="76" w:name="_Toc74251183"/>
      <w:r>
        <w:rPr>
          <w:rStyle w:val="55"/>
          <w:rFonts w:hint="eastAsia" w:ascii="黑体" w:hAnsi="黑体" w:eastAsia="黑体" w:cs="方正仿宋简体"/>
          <w:b w:val="0"/>
          <w:bCs w:val="0"/>
          <w:sz w:val="28"/>
          <w:szCs w:val="28"/>
        </w:rPr>
        <w:t>附件</w:t>
      </w:r>
      <w:bookmarkEnd w:id="76"/>
    </w:p>
    <w:p>
      <w:pPr>
        <w:spacing w:line="480" w:lineRule="exact"/>
        <w:jc w:val="center"/>
        <w:rPr>
          <w:rFonts w:ascii="方正小标宋简体" w:eastAsia="PMingLiU"/>
          <w:sz w:val="36"/>
          <w:szCs w:val="36"/>
        </w:rPr>
      </w:pPr>
      <w:r>
        <w:rPr>
          <w:rFonts w:hint="eastAsia" w:ascii="方正小标宋简体" w:eastAsia="方正小标宋简体"/>
          <w:sz w:val="36"/>
          <w:szCs w:val="36"/>
        </w:rPr>
        <w:t>家用燃气灶具安全检测项目</w:t>
      </w:r>
    </w:p>
    <w:p>
      <w:pPr>
        <w:spacing w:line="480" w:lineRule="exact"/>
        <w:jc w:val="center"/>
        <w:rPr>
          <w:rFonts w:ascii="方正小标宋简体" w:eastAsia="PMingLiU"/>
          <w:sz w:val="28"/>
          <w:szCs w:val="28"/>
        </w:rPr>
      </w:pPr>
    </w:p>
    <w:tbl>
      <w:tblPr>
        <w:tblStyle w:val="23"/>
        <w:tblW w:w="8149" w:type="dxa"/>
        <w:jc w:val="center"/>
        <w:tblInd w:w="0" w:type="dxa"/>
        <w:tblLayout w:type="fixed"/>
        <w:tblCellMar>
          <w:top w:w="0" w:type="dxa"/>
          <w:left w:w="108" w:type="dxa"/>
          <w:bottom w:w="0" w:type="dxa"/>
          <w:right w:w="108" w:type="dxa"/>
        </w:tblCellMar>
      </w:tblPr>
      <w:tblGrid>
        <w:gridCol w:w="1052"/>
        <w:gridCol w:w="3401"/>
        <w:gridCol w:w="3696"/>
      </w:tblGrid>
      <w:tr>
        <w:tblPrEx>
          <w:tblLayout w:type="fixed"/>
          <w:tblCellMar>
            <w:top w:w="0" w:type="dxa"/>
            <w:left w:w="108" w:type="dxa"/>
            <w:bottom w:w="0" w:type="dxa"/>
            <w:right w:w="108" w:type="dxa"/>
          </w:tblCellMar>
        </w:tblPrEx>
        <w:trPr>
          <w:trHeight w:val="20" w:hRule="atLeast"/>
          <w:jc w:val="center"/>
        </w:trPr>
        <w:tc>
          <w:tcPr>
            <w:tcW w:w="10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lang w:eastAsia="zh-CN"/>
              </w:rPr>
              <w:t>序号</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条款</w:t>
            </w:r>
          </w:p>
        </w:tc>
        <w:tc>
          <w:tcPr>
            <w:tcW w:w="3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安全检测项目</w:t>
            </w:r>
          </w:p>
        </w:tc>
      </w:tr>
      <w:tr>
        <w:tblPrEx>
          <w:tblLayout w:type="fixed"/>
          <w:tblCellMar>
            <w:top w:w="0" w:type="dxa"/>
            <w:left w:w="108" w:type="dxa"/>
            <w:bottom w:w="0" w:type="dxa"/>
            <w:right w:w="108" w:type="dxa"/>
          </w:tblCellMar>
        </w:tblPrEx>
        <w:trPr>
          <w:trHeight w:val="20" w:hRule="atLeast"/>
          <w:jc w:val="center"/>
        </w:trPr>
        <w:tc>
          <w:tcPr>
            <w:tcW w:w="10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5.2.1</w:t>
            </w:r>
          </w:p>
        </w:tc>
        <w:tc>
          <w:tcPr>
            <w:tcW w:w="369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气密性</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5.2.2 a)，c)</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热负荷</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5.2.3表2之2</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离焰</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5.2.3表2之3</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熄火</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5.2.3表2之4</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回火</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5.2.3表2之7</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干烟气中一氧化碳浓度</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5.2.4表3之1、3、4、6</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温升</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5.2.8.1 b)</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熄火保护装置--闭阀时间</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5.2.8.4</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集成灶烟道防火安全装置</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5.2.11.1表6之1-6、5.2.11.2</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使用交流电源的灶具的电气性能</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5.2.11.3</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使用直流电源的灶具的电气性能</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5.3.1.4</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灶具燃烧器的燃气阀门设置</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13</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5.3.1.5</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电点火装置出现故障时的要求</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5.3.1.8 d)、f)</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燃气导管</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5.3.1.9</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燃烧器的熄火保护装置</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5.3.1.11</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石棉不应用于灶具的结构之中</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17</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5.3.2</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灶结构</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18</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5.3.7</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集成灶结构</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19</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5.3.8</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使用交流电源灶具结构的特殊要求</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5.4.10.1</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燃烧器火孔部位材料要求</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21</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7.1.1 （f)、k)、l)除外）</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铭牌</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22</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7.1.2</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除铭牌标志以外的标志</w:t>
            </w:r>
          </w:p>
        </w:tc>
      </w:tr>
      <w:tr>
        <w:tblPrEx>
          <w:tblLayout w:type="fixed"/>
          <w:tblCellMar>
            <w:top w:w="0" w:type="dxa"/>
            <w:left w:w="108" w:type="dxa"/>
            <w:bottom w:w="0" w:type="dxa"/>
            <w:right w:w="108" w:type="dxa"/>
          </w:tblCellMar>
        </w:tblPrEx>
        <w:trPr>
          <w:trHeight w:val="20" w:hRule="atLeast"/>
          <w:jc w:val="center"/>
        </w:trPr>
        <w:tc>
          <w:tcPr>
            <w:tcW w:w="105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23</w:t>
            </w:r>
          </w:p>
        </w:tc>
        <w:tc>
          <w:tcPr>
            <w:tcW w:w="3401"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7.3 c),d),h)</w:t>
            </w:r>
          </w:p>
        </w:tc>
        <w:tc>
          <w:tcPr>
            <w:tcW w:w="369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安装使用说明</w:t>
            </w:r>
          </w:p>
        </w:tc>
      </w:tr>
    </w:tbl>
    <w:p>
      <w:pPr>
        <w:spacing w:line="480" w:lineRule="exact"/>
        <w:jc w:val="center"/>
        <w:rPr>
          <w:rFonts w:ascii="方正仿宋简体" w:eastAsia="方正仿宋简体"/>
          <w:b/>
          <w:sz w:val="28"/>
          <w:szCs w:val="28"/>
        </w:rPr>
      </w:pPr>
    </w:p>
    <w:p>
      <w:pPr>
        <w:spacing w:line="480" w:lineRule="exact"/>
        <w:jc w:val="center"/>
        <w:rPr>
          <w:rFonts w:ascii="方正仿宋简体" w:eastAsia="PMingLiU"/>
          <w:b/>
          <w:sz w:val="28"/>
          <w:szCs w:val="28"/>
        </w:rPr>
      </w:pPr>
      <w:r>
        <w:rPr>
          <w:rFonts w:hint="eastAsia" w:ascii="方正仿宋简体" w:eastAsia="方正仿宋简体"/>
          <w:b/>
          <w:sz w:val="28"/>
          <w:szCs w:val="28"/>
        </w:rPr>
        <w:br w:type="page"/>
      </w:r>
    </w:p>
    <w:p>
      <w:pPr>
        <w:spacing w:line="480" w:lineRule="exact"/>
        <w:jc w:val="center"/>
        <w:rPr>
          <w:rFonts w:ascii="方正小标宋简体" w:eastAsia="PMingLiU"/>
          <w:sz w:val="36"/>
          <w:szCs w:val="36"/>
        </w:rPr>
      </w:pPr>
      <w:r>
        <w:rPr>
          <w:rFonts w:hint="eastAsia" w:ascii="方正小标宋简体" w:eastAsia="方正小标宋简体"/>
          <w:sz w:val="36"/>
          <w:szCs w:val="36"/>
        </w:rPr>
        <w:t>家用燃气快速热水器安全检测项目</w:t>
      </w:r>
    </w:p>
    <w:p>
      <w:pPr>
        <w:spacing w:line="480" w:lineRule="exact"/>
        <w:jc w:val="center"/>
        <w:rPr>
          <w:rFonts w:ascii="方正小标宋简体" w:eastAsia="PMingLiU"/>
          <w:sz w:val="28"/>
          <w:szCs w:val="28"/>
        </w:rPr>
      </w:pPr>
    </w:p>
    <w:tbl>
      <w:tblPr>
        <w:tblStyle w:val="23"/>
        <w:tblW w:w="8446" w:type="dxa"/>
        <w:jc w:val="center"/>
        <w:tblInd w:w="0" w:type="dxa"/>
        <w:tblLayout w:type="fixed"/>
        <w:tblCellMar>
          <w:top w:w="0" w:type="dxa"/>
          <w:left w:w="108" w:type="dxa"/>
          <w:bottom w:w="0" w:type="dxa"/>
          <w:right w:w="108" w:type="dxa"/>
        </w:tblCellMar>
      </w:tblPr>
      <w:tblGrid>
        <w:gridCol w:w="1455"/>
        <w:gridCol w:w="1655"/>
        <w:gridCol w:w="5336"/>
      </w:tblGrid>
      <w:tr>
        <w:tblPrEx>
          <w:tblLayout w:type="fixed"/>
          <w:tblCellMar>
            <w:top w:w="0" w:type="dxa"/>
            <w:left w:w="108" w:type="dxa"/>
            <w:bottom w:w="0" w:type="dxa"/>
            <w:right w:w="108" w:type="dxa"/>
          </w:tblCellMar>
        </w:tblPrEx>
        <w:trPr>
          <w:trHeight w:val="20" w:hRule="atLeast"/>
          <w:jc w:val="center"/>
        </w:trPr>
        <w:tc>
          <w:tcPr>
            <w:tcW w:w="1455" w:type="dxa"/>
            <w:tcBorders>
              <w:top w:val="single" w:color="auto" w:sz="4" w:space="0"/>
              <w:left w:val="single" w:color="auto" w:sz="4" w:space="0"/>
              <w:bottom w:val="single" w:color="auto" w:sz="4" w:space="0"/>
              <w:right w:val="single" w:color="auto" w:sz="4" w:space="0"/>
            </w:tcBorders>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lang w:eastAsia="zh-CN"/>
              </w:rPr>
              <w:t>序号</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条款</w:t>
            </w:r>
          </w:p>
        </w:tc>
        <w:tc>
          <w:tcPr>
            <w:tcW w:w="5336" w:type="dxa"/>
            <w:tcBorders>
              <w:top w:val="single" w:color="auto" w:sz="4" w:space="0"/>
              <w:left w:val="nil"/>
              <w:bottom w:val="single" w:color="auto" w:sz="4" w:space="0"/>
              <w:right w:val="single" w:color="auto" w:sz="4" w:space="0"/>
            </w:tcBorders>
            <w:shd w:val="clear" w:color="auto" w:fill="auto"/>
            <w:vAlign w:val="center"/>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安全检测项目</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5.1.6.1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排烟管（自然排气式）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5.1.6.2</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通过烟气的部件材料（强制排气式、自然给排气式、强制给排气式）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3</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5.2.2.2.1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燃气系统的组成</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4</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5.2.2.8.1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排烟管（自然排气式）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5.2.2.8.2</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排烟管（强制排气式）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5.2.2.9.1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给排气管（自然给排气式和强制给排气式热水器）</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7</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5.2.3.1.1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熄火保护装置</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8</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5.2.3.2.1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防干烧安全装置</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9</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5.2.3.3.1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防止不完全燃烧安全装置（自然排气式）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10</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5.2.3.4.1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烟道堵塞安全装置和风压过大安全装置（强制排气式）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11</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燃气系统气密性</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12</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热负荷限制</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13</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火焰稳定性</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14</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烟气中CO含量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15</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熄火保护装置</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16</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烟道堵塞安全装置（强制排气式）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17</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风压过大安全装置（强制排气式）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18</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防干烧安全装置</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19</w:t>
            </w:r>
          </w:p>
        </w:tc>
        <w:tc>
          <w:tcPr>
            <w:tcW w:w="1655" w:type="dxa"/>
            <w:tcBorders>
              <w:top w:val="nil"/>
              <w:left w:val="single" w:color="auto" w:sz="4" w:space="0"/>
              <w:bottom w:val="single" w:color="auto" w:sz="4" w:space="0"/>
              <w:right w:val="single" w:color="auto" w:sz="4" w:space="0"/>
            </w:tcBorders>
            <w:shd w:val="clear" w:color="auto" w:fill="auto"/>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6.1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防止不完全燃烧安全装置（自然排气式）</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20</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9.1.1 b）</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铭牌</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21</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9.1.2 a),b),c)</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安全注意事项</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22</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9.4.1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包装箱上应有热水器使用燃气种类或适用地区。</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23</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C.2.1</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防护等级</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24</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C.2.2</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防水等级要求</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25</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C.7</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工作温度下的泄漏电流和电气强度</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26</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C.9</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泄漏电流和电气强度</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27</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C.13</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电源连接和外部软线</w:t>
            </w:r>
          </w:p>
        </w:tc>
      </w:tr>
      <w:tr>
        <w:tblPrEx>
          <w:tblLayout w:type="fixed"/>
          <w:tblCellMar>
            <w:top w:w="0" w:type="dxa"/>
            <w:left w:w="108" w:type="dxa"/>
            <w:bottom w:w="0" w:type="dxa"/>
            <w:right w:w="108" w:type="dxa"/>
          </w:tblCellMar>
        </w:tblPrEx>
        <w:trPr>
          <w:trHeight w:val="20" w:hRule="atLeast"/>
          <w:jc w:val="center"/>
        </w:trPr>
        <w:tc>
          <w:tcPr>
            <w:tcW w:w="1455"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28</w:t>
            </w:r>
          </w:p>
        </w:tc>
        <w:tc>
          <w:tcPr>
            <w:tcW w:w="1655"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C.14</w:t>
            </w:r>
          </w:p>
        </w:tc>
        <w:tc>
          <w:tcPr>
            <w:tcW w:w="5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t>接地措施</w:t>
            </w:r>
          </w:p>
        </w:tc>
      </w:tr>
    </w:tbl>
    <w:p>
      <w:pPr>
        <w:widowControl/>
        <w:spacing w:line="480" w:lineRule="exact"/>
        <w:rPr>
          <w:rFonts w:ascii="方正仿宋简体" w:eastAsia="方正仿宋简体"/>
          <w:b/>
          <w:sz w:val="28"/>
          <w:szCs w:val="28"/>
        </w:rPr>
      </w:pPr>
      <w:r>
        <w:rPr>
          <w:rFonts w:hint="eastAsia" w:ascii="方正仿宋简体" w:eastAsia="方正仿宋简体"/>
          <w:b/>
          <w:sz w:val="28"/>
          <w:szCs w:val="28"/>
        </w:rPr>
        <w:br w:type="page"/>
      </w:r>
    </w:p>
    <w:p>
      <w:pPr>
        <w:spacing w:line="480" w:lineRule="exact"/>
        <w:jc w:val="center"/>
        <w:rPr>
          <w:rFonts w:ascii="方正仿宋简体" w:eastAsia="PMingLiU"/>
          <w:b/>
          <w:sz w:val="28"/>
          <w:szCs w:val="28"/>
        </w:rPr>
      </w:pPr>
    </w:p>
    <w:p>
      <w:pPr>
        <w:spacing w:line="480" w:lineRule="exact"/>
        <w:jc w:val="center"/>
        <w:rPr>
          <w:rFonts w:ascii="方正小标宋简体" w:eastAsia="PMingLiU"/>
          <w:sz w:val="36"/>
          <w:szCs w:val="36"/>
        </w:rPr>
      </w:pPr>
      <w:r>
        <w:rPr>
          <w:rFonts w:hint="eastAsia" w:ascii="方正小标宋简体" w:eastAsia="方正小标宋简体"/>
          <w:sz w:val="36"/>
          <w:szCs w:val="36"/>
        </w:rPr>
        <w:t>燃气采暖热水炉安全检测项目</w:t>
      </w:r>
    </w:p>
    <w:p>
      <w:pPr>
        <w:spacing w:line="480" w:lineRule="exact"/>
        <w:jc w:val="center"/>
        <w:rPr>
          <w:rFonts w:ascii="方正小标宋简体" w:eastAsia="PMingLiU"/>
          <w:sz w:val="28"/>
          <w:szCs w:val="28"/>
        </w:rPr>
      </w:pPr>
    </w:p>
    <w:tbl>
      <w:tblPr>
        <w:tblStyle w:val="23"/>
        <w:tblW w:w="8531" w:type="dxa"/>
        <w:jc w:val="center"/>
        <w:tblInd w:w="0" w:type="dxa"/>
        <w:tblLayout w:type="fixed"/>
        <w:tblCellMar>
          <w:top w:w="0" w:type="dxa"/>
          <w:left w:w="108" w:type="dxa"/>
          <w:bottom w:w="0" w:type="dxa"/>
          <w:right w:w="108" w:type="dxa"/>
        </w:tblCellMar>
      </w:tblPr>
      <w:tblGrid>
        <w:gridCol w:w="843"/>
        <w:gridCol w:w="3353"/>
        <w:gridCol w:w="4335"/>
      </w:tblGrid>
      <w:tr>
        <w:tblPrEx>
          <w:tblLayout w:type="fixed"/>
          <w:tblCellMar>
            <w:top w:w="0" w:type="dxa"/>
            <w:left w:w="108" w:type="dxa"/>
            <w:bottom w:w="0" w:type="dxa"/>
            <w:right w:w="108" w:type="dxa"/>
          </w:tblCellMar>
        </w:tblPrEx>
        <w:trPr>
          <w:trHeight w:val="20" w:hRule="atLeast"/>
          <w:jc w:val="center"/>
        </w:trPr>
        <w:tc>
          <w:tcPr>
            <w:tcW w:w="843" w:type="dxa"/>
            <w:tcBorders>
              <w:top w:val="single" w:color="auto" w:sz="4" w:space="0"/>
              <w:left w:val="single" w:color="auto" w:sz="4" w:space="0"/>
              <w:bottom w:val="single" w:color="auto" w:sz="4" w:space="0"/>
              <w:right w:val="single" w:color="auto" w:sz="4" w:space="0"/>
            </w:tcBorders>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lang w:eastAsia="zh-CN"/>
              </w:rPr>
              <w:t>序号</w:t>
            </w:r>
          </w:p>
        </w:tc>
        <w:tc>
          <w:tcPr>
            <w:tcW w:w="3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条款</w:t>
            </w:r>
          </w:p>
        </w:tc>
        <w:tc>
          <w:tcPr>
            <w:tcW w:w="4335" w:type="dxa"/>
            <w:tcBorders>
              <w:top w:val="single" w:color="auto" w:sz="4" w:space="0"/>
              <w:left w:val="nil"/>
              <w:bottom w:val="single" w:color="auto" w:sz="4" w:space="0"/>
              <w:right w:val="single" w:color="auto" w:sz="4" w:space="0"/>
            </w:tcBorders>
            <w:shd w:val="clear" w:color="auto" w:fill="auto"/>
            <w:vAlign w:val="center"/>
          </w:tcPr>
          <w:p>
            <w:pPr>
              <w:widowControl/>
              <w:adjustRightIn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安全检测项目</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5.2.14</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电源运行安全性</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6.1.1</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燃气系统密封性</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6.2.4</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采暖额定热输出或带有额定热负荷调节装置的最大热输出</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6.2.5</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采暖额定冷凝热输出或带有额定热负荷调节装置的最大冷凝热输出</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6.4.2.2（6.4.2.2.6除外）</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自动燃烧器控制系统火焰监控装置</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6.4.4.2（6.4.4.2.2.2除外）</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采暖系统水温限制装置/功能</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6.4.4.3</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生活热水水温限温装置/功能</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6.4.5</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烟温限制装置</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6.5.1</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额定热负荷时CO含量</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9.1.1 d)</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铭牌</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9.1.3 （ f)、g)除外）</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警示牌</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9.2.1.2  （ q)、r）除外）</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误使用风险警示</w:t>
            </w:r>
          </w:p>
        </w:tc>
      </w:tr>
      <w:tr>
        <w:tblPrEx>
          <w:tblLayout w:type="fixed"/>
          <w:tblCellMar>
            <w:top w:w="0" w:type="dxa"/>
            <w:left w:w="108" w:type="dxa"/>
            <w:bottom w:w="0" w:type="dxa"/>
            <w:right w:w="108" w:type="dxa"/>
          </w:tblCellMar>
        </w:tblPrEx>
        <w:trPr>
          <w:trHeight w:val="20" w:hRule="atLeast"/>
          <w:jc w:val="center"/>
        </w:trPr>
        <w:tc>
          <w:tcPr>
            <w:tcW w:w="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13</w:t>
            </w:r>
          </w:p>
        </w:tc>
        <w:tc>
          <w:tcPr>
            <w:tcW w:w="3353"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附录I</w:t>
            </w:r>
          </w:p>
        </w:tc>
        <w:tc>
          <w:tcPr>
            <w:tcW w:w="4335"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使用交流电源采暖炉的电气安全</w:t>
            </w:r>
          </w:p>
        </w:tc>
      </w:tr>
    </w:tbl>
    <w:p>
      <w:pPr>
        <w:spacing w:line="480" w:lineRule="exact"/>
        <w:jc w:val="center"/>
        <w:rPr>
          <w:rFonts w:ascii="方正仿宋简体" w:hAnsi="宋体" w:eastAsia="方正仿宋简体" w:cs="宋体"/>
          <w:sz w:val="28"/>
          <w:szCs w:val="28"/>
        </w:rPr>
      </w:pPr>
    </w:p>
    <w:sectPr>
      <w:footerReference r:id="rId6" w:type="default"/>
      <w:pgSz w:w="11909" w:h="16838"/>
      <w:pgMar w:top="1440" w:right="1797" w:bottom="1440" w:left="1797" w:header="850" w:footer="1361" w:gutter="0"/>
      <w:paperSrc/>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AngsanaUPC">
    <w:panose1 w:val="02020603050405020304"/>
    <w:charset w:val="DE"/>
    <w:family w:val="roman"/>
    <w:pitch w:val="default"/>
    <w:sig w:usb0="81000003" w:usb1="00000000" w:usb2="00000000" w:usb3="00000000" w:csb0="00010001" w:csb1="00000000"/>
  </w:font>
  <w:font w:name="Palatino Linotype">
    <w:panose1 w:val="02040502050505030304"/>
    <w:charset w:val="00"/>
    <w:family w:val="roman"/>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ind w:left="360" w:leftChars="150" w:right="360" w:rightChars="150"/>
      <w:jc w:val="both"/>
      <w:textAlignment w:val="auto"/>
      <w:outlineLvl w:val="9"/>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ind w:left="360" w:leftChars="150" w:right="360" w:rightChars="15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720"/>
  <w:doNotHyphenateCaps/>
  <w:evenAndOddHeaders w:val="1"/>
  <w:drawingGridHorizontalSpacing w:val="181"/>
  <w:drawingGridVerticalSpacing w:val="181"/>
  <w:doNotShadeFormData w:val="1"/>
  <w:characterSpacingControl w:val="compressPunctuation"/>
  <w:noLineBreaksAfter w:lang="zh-CN" w:val="$([{£¥·‘“〈《「『【〔〖〝﹙﹛﹝＄（．［｛￡￥"/>
  <w:noLineBreaksBefore w:lang="zh-CN" w:val="!%),.:;&gt;?]}¢¨°·ˇˉ―‖’”…‰′″›℃∶、。〃〉》」』】〕〗〞︶︺︾﹀﹄﹚﹜﹞！＂％＇），．：；？］｀｜｝～￠"/>
  <w:doNotValidateAgainstSchema/>
  <w:doNotDemarcateInvalidXm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D4"/>
    <w:rsid w:val="00015120"/>
    <w:rsid w:val="00025045"/>
    <w:rsid w:val="000364E6"/>
    <w:rsid w:val="00056B63"/>
    <w:rsid w:val="00061354"/>
    <w:rsid w:val="000720E7"/>
    <w:rsid w:val="0007521F"/>
    <w:rsid w:val="000768CE"/>
    <w:rsid w:val="000B236A"/>
    <w:rsid w:val="000B6C92"/>
    <w:rsid w:val="000C6536"/>
    <w:rsid w:val="000C782A"/>
    <w:rsid w:val="000E23B0"/>
    <w:rsid w:val="000E46FC"/>
    <w:rsid w:val="000F377E"/>
    <w:rsid w:val="001004FD"/>
    <w:rsid w:val="00112C49"/>
    <w:rsid w:val="00122952"/>
    <w:rsid w:val="001263AC"/>
    <w:rsid w:val="001358B3"/>
    <w:rsid w:val="00176663"/>
    <w:rsid w:val="00180766"/>
    <w:rsid w:val="00192198"/>
    <w:rsid w:val="001959E7"/>
    <w:rsid w:val="001B383E"/>
    <w:rsid w:val="001B6A0D"/>
    <w:rsid w:val="001B7C2B"/>
    <w:rsid w:val="001D2AD1"/>
    <w:rsid w:val="001F5DDE"/>
    <w:rsid w:val="00201A5A"/>
    <w:rsid w:val="00205174"/>
    <w:rsid w:val="00207E22"/>
    <w:rsid w:val="00221260"/>
    <w:rsid w:val="00244A95"/>
    <w:rsid w:val="00250CE2"/>
    <w:rsid w:val="0026584F"/>
    <w:rsid w:val="002721D1"/>
    <w:rsid w:val="0027250D"/>
    <w:rsid w:val="00287074"/>
    <w:rsid w:val="00295AC6"/>
    <w:rsid w:val="00295C46"/>
    <w:rsid w:val="002A17B0"/>
    <w:rsid w:val="002B2207"/>
    <w:rsid w:val="002B3B64"/>
    <w:rsid w:val="002C1290"/>
    <w:rsid w:val="002D3C55"/>
    <w:rsid w:val="002E32C1"/>
    <w:rsid w:val="00316D36"/>
    <w:rsid w:val="00333270"/>
    <w:rsid w:val="00333AFD"/>
    <w:rsid w:val="00350190"/>
    <w:rsid w:val="0035259F"/>
    <w:rsid w:val="00354771"/>
    <w:rsid w:val="0036042E"/>
    <w:rsid w:val="003856E1"/>
    <w:rsid w:val="003947F3"/>
    <w:rsid w:val="00395139"/>
    <w:rsid w:val="003B4DFF"/>
    <w:rsid w:val="003B766A"/>
    <w:rsid w:val="003C08E5"/>
    <w:rsid w:val="003C3649"/>
    <w:rsid w:val="003F04BA"/>
    <w:rsid w:val="003F2774"/>
    <w:rsid w:val="003F47C0"/>
    <w:rsid w:val="003F7BD1"/>
    <w:rsid w:val="004060C8"/>
    <w:rsid w:val="004063B6"/>
    <w:rsid w:val="004071BB"/>
    <w:rsid w:val="0041409C"/>
    <w:rsid w:val="00415947"/>
    <w:rsid w:val="004209D8"/>
    <w:rsid w:val="0042253A"/>
    <w:rsid w:val="00436508"/>
    <w:rsid w:val="0045067C"/>
    <w:rsid w:val="00452CCF"/>
    <w:rsid w:val="00460214"/>
    <w:rsid w:val="00473A5A"/>
    <w:rsid w:val="004824A7"/>
    <w:rsid w:val="0049091A"/>
    <w:rsid w:val="004A0F78"/>
    <w:rsid w:val="004A4B3A"/>
    <w:rsid w:val="004B71CB"/>
    <w:rsid w:val="004B7A21"/>
    <w:rsid w:val="004E0FCE"/>
    <w:rsid w:val="004E4F8E"/>
    <w:rsid w:val="00510BE9"/>
    <w:rsid w:val="00525031"/>
    <w:rsid w:val="00552459"/>
    <w:rsid w:val="0056557D"/>
    <w:rsid w:val="00571022"/>
    <w:rsid w:val="005729EB"/>
    <w:rsid w:val="005B6129"/>
    <w:rsid w:val="005C018A"/>
    <w:rsid w:val="005C0448"/>
    <w:rsid w:val="005C1A03"/>
    <w:rsid w:val="005C22DC"/>
    <w:rsid w:val="005D3669"/>
    <w:rsid w:val="005E3FEF"/>
    <w:rsid w:val="005F2D66"/>
    <w:rsid w:val="005F3AA3"/>
    <w:rsid w:val="005F3FB4"/>
    <w:rsid w:val="00631C9B"/>
    <w:rsid w:val="00636C5D"/>
    <w:rsid w:val="00640D7F"/>
    <w:rsid w:val="006439D7"/>
    <w:rsid w:val="006620A4"/>
    <w:rsid w:val="00672881"/>
    <w:rsid w:val="00694A31"/>
    <w:rsid w:val="006A2565"/>
    <w:rsid w:val="006A4598"/>
    <w:rsid w:val="006B74BE"/>
    <w:rsid w:val="006D36C9"/>
    <w:rsid w:val="006E41CB"/>
    <w:rsid w:val="006F39FD"/>
    <w:rsid w:val="006F6210"/>
    <w:rsid w:val="00710557"/>
    <w:rsid w:val="007109DC"/>
    <w:rsid w:val="00717948"/>
    <w:rsid w:val="007436B1"/>
    <w:rsid w:val="007803F3"/>
    <w:rsid w:val="00782EE9"/>
    <w:rsid w:val="007B5368"/>
    <w:rsid w:val="007B746A"/>
    <w:rsid w:val="007E37C2"/>
    <w:rsid w:val="007F0142"/>
    <w:rsid w:val="00816989"/>
    <w:rsid w:val="00817EB1"/>
    <w:rsid w:val="008251F9"/>
    <w:rsid w:val="00836FD3"/>
    <w:rsid w:val="0084547C"/>
    <w:rsid w:val="00857B03"/>
    <w:rsid w:val="00872212"/>
    <w:rsid w:val="00875179"/>
    <w:rsid w:val="0088051E"/>
    <w:rsid w:val="00884888"/>
    <w:rsid w:val="00895D31"/>
    <w:rsid w:val="008B27A1"/>
    <w:rsid w:val="008E26CE"/>
    <w:rsid w:val="008F3535"/>
    <w:rsid w:val="008F62B5"/>
    <w:rsid w:val="00901B74"/>
    <w:rsid w:val="009214DA"/>
    <w:rsid w:val="009445CA"/>
    <w:rsid w:val="009616B4"/>
    <w:rsid w:val="00987053"/>
    <w:rsid w:val="009A3AB8"/>
    <w:rsid w:val="009A3C4C"/>
    <w:rsid w:val="009C1A16"/>
    <w:rsid w:val="009D341B"/>
    <w:rsid w:val="009D6705"/>
    <w:rsid w:val="009F5327"/>
    <w:rsid w:val="00A13E9F"/>
    <w:rsid w:val="00A31252"/>
    <w:rsid w:val="00A323FB"/>
    <w:rsid w:val="00A35E79"/>
    <w:rsid w:val="00A55C7C"/>
    <w:rsid w:val="00A71A17"/>
    <w:rsid w:val="00A73483"/>
    <w:rsid w:val="00A80B52"/>
    <w:rsid w:val="00AA5632"/>
    <w:rsid w:val="00AA656B"/>
    <w:rsid w:val="00AA7A20"/>
    <w:rsid w:val="00AC1736"/>
    <w:rsid w:val="00AC57E1"/>
    <w:rsid w:val="00AE3D0D"/>
    <w:rsid w:val="00AF0B33"/>
    <w:rsid w:val="00AF67F8"/>
    <w:rsid w:val="00B01803"/>
    <w:rsid w:val="00B018E5"/>
    <w:rsid w:val="00B02FBD"/>
    <w:rsid w:val="00B04908"/>
    <w:rsid w:val="00B10D3F"/>
    <w:rsid w:val="00B13685"/>
    <w:rsid w:val="00B23921"/>
    <w:rsid w:val="00B72B9F"/>
    <w:rsid w:val="00B85FDD"/>
    <w:rsid w:val="00B95932"/>
    <w:rsid w:val="00BA65BF"/>
    <w:rsid w:val="00BB42CB"/>
    <w:rsid w:val="00BD282B"/>
    <w:rsid w:val="00C03F5A"/>
    <w:rsid w:val="00C22FD4"/>
    <w:rsid w:val="00C23A85"/>
    <w:rsid w:val="00C307CE"/>
    <w:rsid w:val="00C321D5"/>
    <w:rsid w:val="00C631B3"/>
    <w:rsid w:val="00C63560"/>
    <w:rsid w:val="00C657AE"/>
    <w:rsid w:val="00C80BA6"/>
    <w:rsid w:val="00C90514"/>
    <w:rsid w:val="00CA1EB3"/>
    <w:rsid w:val="00CB7F38"/>
    <w:rsid w:val="00CC0DE0"/>
    <w:rsid w:val="00CD695E"/>
    <w:rsid w:val="00CE07CE"/>
    <w:rsid w:val="00CE5A6A"/>
    <w:rsid w:val="00CE6645"/>
    <w:rsid w:val="00D03998"/>
    <w:rsid w:val="00D0442D"/>
    <w:rsid w:val="00D23A3A"/>
    <w:rsid w:val="00D2509B"/>
    <w:rsid w:val="00D251AC"/>
    <w:rsid w:val="00D2593A"/>
    <w:rsid w:val="00D25E52"/>
    <w:rsid w:val="00D42728"/>
    <w:rsid w:val="00D704A7"/>
    <w:rsid w:val="00D80836"/>
    <w:rsid w:val="00D83D4D"/>
    <w:rsid w:val="00D91423"/>
    <w:rsid w:val="00DB7531"/>
    <w:rsid w:val="00DC4837"/>
    <w:rsid w:val="00DF1721"/>
    <w:rsid w:val="00DF21AA"/>
    <w:rsid w:val="00E30E7E"/>
    <w:rsid w:val="00E3416F"/>
    <w:rsid w:val="00E522DB"/>
    <w:rsid w:val="00E5582B"/>
    <w:rsid w:val="00E57716"/>
    <w:rsid w:val="00E85A22"/>
    <w:rsid w:val="00EB3619"/>
    <w:rsid w:val="00ED2912"/>
    <w:rsid w:val="00F01AED"/>
    <w:rsid w:val="00F25676"/>
    <w:rsid w:val="00F44743"/>
    <w:rsid w:val="00F45C04"/>
    <w:rsid w:val="00F46C10"/>
    <w:rsid w:val="00F55AC3"/>
    <w:rsid w:val="00F57CAB"/>
    <w:rsid w:val="00F8727F"/>
    <w:rsid w:val="00F92926"/>
    <w:rsid w:val="00FA5711"/>
    <w:rsid w:val="00FC7C2F"/>
    <w:rsid w:val="00FD0AC4"/>
    <w:rsid w:val="00FD5450"/>
    <w:rsid w:val="00FE472F"/>
    <w:rsid w:val="00FF5029"/>
    <w:rsid w:val="092A2537"/>
    <w:rsid w:val="27C40E10"/>
    <w:rsid w:val="2A7A65F2"/>
    <w:rsid w:val="3A653B37"/>
    <w:rsid w:val="4B2B1B76"/>
    <w:rsid w:val="734F38A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ourier New" w:hAnsi="Courier New" w:eastAsia="宋体" w:cs="Courier New"/>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kern w:val="0"/>
      <w:sz w:val="24"/>
      <w:szCs w:val="24"/>
      <w:lang w:val="zh-TW" w:eastAsia="zh-TW" w:bidi="ar-SA"/>
    </w:rPr>
  </w:style>
  <w:style w:type="paragraph" w:styleId="2">
    <w:name w:val="heading 1"/>
    <w:basedOn w:val="1"/>
    <w:next w:val="1"/>
    <w:link w:val="25"/>
    <w:qFormat/>
    <w:uiPriority w:val="99"/>
    <w:pPr>
      <w:keepNext/>
      <w:keepLines/>
      <w:spacing w:before="160" w:after="100" w:line="160" w:lineRule="atLeast"/>
      <w:outlineLvl w:val="0"/>
    </w:pPr>
    <w:rPr>
      <w:rFonts w:ascii="方正仿宋简体" w:eastAsia="方正仿宋简体" w:cs="方正仿宋简体"/>
      <w:b/>
      <w:bCs/>
      <w:kern w:val="44"/>
      <w:sz w:val="28"/>
      <w:szCs w:val="28"/>
    </w:rPr>
  </w:style>
  <w:style w:type="paragraph" w:styleId="3">
    <w:name w:val="heading 2"/>
    <w:basedOn w:val="1"/>
    <w:next w:val="1"/>
    <w:link w:val="26"/>
    <w:qFormat/>
    <w:uiPriority w:val="99"/>
    <w:pPr>
      <w:keepNext/>
      <w:keepLines/>
      <w:spacing w:before="160" w:after="160" w:line="240" w:lineRule="atLeast"/>
      <w:outlineLvl w:val="1"/>
    </w:pPr>
    <w:rPr>
      <w:rFonts w:ascii="方正仿宋简体" w:hAnsi="等线 Light" w:eastAsia="方正仿宋简体" w:cs="方正仿宋简体"/>
      <w:sz w:val="28"/>
      <w:szCs w:val="28"/>
    </w:rPr>
  </w:style>
  <w:style w:type="paragraph" w:styleId="4">
    <w:name w:val="heading 3"/>
    <w:basedOn w:val="1"/>
    <w:next w:val="1"/>
    <w:link w:val="27"/>
    <w:qFormat/>
    <w:uiPriority w:val="99"/>
    <w:pPr>
      <w:keepNext/>
      <w:keepLines/>
      <w:spacing w:before="160" w:after="160" w:line="240" w:lineRule="atLeast"/>
      <w:outlineLvl w:val="2"/>
    </w:pPr>
    <w:rPr>
      <w:rFonts w:ascii="方正仿宋简体" w:eastAsia="方正仿宋简体" w:cs="方正仿宋简体"/>
      <w:b/>
      <w:bCs/>
      <w:sz w:val="28"/>
      <w:szCs w:val="28"/>
    </w:rPr>
  </w:style>
  <w:style w:type="character" w:default="1" w:styleId="20">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105"/>
    <w:semiHidden/>
    <w:qFormat/>
    <w:uiPriority w:val="99"/>
    <w:rPr>
      <w:b/>
      <w:bCs/>
    </w:rPr>
  </w:style>
  <w:style w:type="paragraph" w:styleId="6">
    <w:name w:val="annotation text"/>
    <w:basedOn w:val="1"/>
    <w:link w:val="104"/>
    <w:semiHidden/>
    <w:qFormat/>
    <w:uiPriority w:val="99"/>
  </w:style>
  <w:style w:type="paragraph" w:styleId="7">
    <w:name w:val="toc 7"/>
    <w:basedOn w:val="1"/>
    <w:next w:val="1"/>
    <w:semiHidden/>
    <w:qFormat/>
    <w:uiPriority w:val="99"/>
    <w:pPr>
      <w:ind w:left="1440"/>
    </w:pPr>
    <w:rPr>
      <w:rFonts w:ascii="Times New Roman" w:hAnsi="Times New Roman" w:cs="Times New Roman"/>
      <w:sz w:val="18"/>
      <w:szCs w:val="18"/>
    </w:rPr>
  </w:style>
  <w:style w:type="paragraph" w:styleId="8">
    <w:name w:val="Body Text"/>
    <w:basedOn w:val="1"/>
    <w:link w:val="58"/>
    <w:qFormat/>
    <w:uiPriority w:val="99"/>
    <w:pPr>
      <w:shd w:val="clear" w:color="auto" w:fill="FFFFFF"/>
      <w:spacing w:before="240" w:line="427" w:lineRule="exact"/>
      <w:jc w:val="distribute"/>
    </w:pPr>
    <w:rPr>
      <w:rFonts w:ascii="MingLiU" w:eastAsia="MingLiU" w:cs="MingLiU"/>
      <w:color w:val="auto"/>
      <w:spacing w:val="30"/>
      <w:sz w:val="27"/>
      <w:szCs w:val="27"/>
      <w:lang w:val="en-US" w:eastAsia="zh-CN"/>
    </w:rPr>
  </w:style>
  <w:style w:type="paragraph" w:styleId="9">
    <w:name w:val="toc 5"/>
    <w:basedOn w:val="1"/>
    <w:next w:val="1"/>
    <w:semiHidden/>
    <w:qFormat/>
    <w:uiPriority w:val="99"/>
    <w:pPr>
      <w:ind w:left="960"/>
    </w:pPr>
    <w:rPr>
      <w:rFonts w:ascii="Times New Roman" w:hAnsi="Times New Roman" w:cs="Times New Roman"/>
      <w:sz w:val="18"/>
      <w:szCs w:val="18"/>
    </w:rPr>
  </w:style>
  <w:style w:type="paragraph" w:styleId="10">
    <w:name w:val="toc 3"/>
    <w:basedOn w:val="1"/>
    <w:next w:val="1"/>
    <w:semiHidden/>
    <w:qFormat/>
    <w:uiPriority w:val="99"/>
    <w:pPr>
      <w:ind w:left="480"/>
    </w:pPr>
    <w:rPr>
      <w:rFonts w:ascii="Times New Roman" w:hAnsi="Times New Roman" w:cs="Times New Roman"/>
      <w:i/>
      <w:iCs/>
      <w:sz w:val="20"/>
      <w:szCs w:val="20"/>
    </w:rPr>
  </w:style>
  <w:style w:type="paragraph" w:styleId="11">
    <w:name w:val="toc 8"/>
    <w:basedOn w:val="1"/>
    <w:next w:val="1"/>
    <w:semiHidden/>
    <w:qFormat/>
    <w:uiPriority w:val="99"/>
    <w:pPr>
      <w:ind w:left="1680"/>
    </w:pPr>
    <w:rPr>
      <w:rFonts w:ascii="Times New Roman" w:hAnsi="Times New Roman" w:cs="Times New Roman"/>
      <w:sz w:val="18"/>
      <w:szCs w:val="18"/>
    </w:rPr>
  </w:style>
  <w:style w:type="paragraph" w:styleId="12">
    <w:name w:val="Balloon Text"/>
    <w:basedOn w:val="1"/>
    <w:link w:val="106"/>
    <w:semiHidden/>
    <w:qFormat/>
    <w:uiPriority w:val="99"/>
    <w:rPr>
      <w:sz w:val="18"/>
      <w:szCs w:val="18"/>
    </w:rPr>
  </w:style>
  <w:style w:type="paragraph" w:styleId="13">
    <w:name w:val="footer"/>
    <w:basedOn w:val="1"/>
    <w:link w:val="103"/>
    <w:qFormat/>
    <w:uiPriority w:val="99"/>
    <w:pPr>
      <w:tabs>
        <w:tab w:val="center" w:pos="4153"/>
        <w:tab w:val="right" w:pos="8306"/>
      </w:tabs>
      <w:snapToGrid w:val="0"/>
    </w:pPr>
    <w:rPr>
      <w:sz w:val="18"/>
      <w:szCs w:val="18"/>
    </w:rPr>
  </w:style>
  <w:style w:type="paragraph" w:styleId="14">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15"/>
      </w:tabs>
      <w:adjustRightInd w:val="0"/>
      <w:snapToGrid w:val="0"/>
    </w:pPr>
    <w:rPr>
      <w:rFonts w:ascii="宋体" w:hAnsi="宋体" w:cs="宋体"/>
      <w:b/>
      <w:bCs/>
      <w:caps/>
      <w:sz w:val="28"/>
      <w:szCs w:val="28"/>
    </w:rPr>
  </w:style>
  <w:style w:type="paragraph" w:styleId="16">
    <w:name w:val="toc 4"/>
    <w:basedOn w:val="1"/>
    <w:next w:val="1"/>
    <w:semiHidden/>
    <w:qFormat/>
    <w:uiPriority w:val="99"/>
    <w:pPr>
      <w:ind w:left="720"/>
    </w:pPr>
    <w:rPr>
      <w:rFonts w:ascii="Times New Roman" w:hAnsi="Times New Roman" w:cs="Times New Roman"/>
      <w:sz w:val="18"/>
      <w:szCs w:val="18"/>
    </w:rPr>
  </w:style>
  <w:style w:type="paragraph" w:styleId="17">
    <w:name w:val="toc 6"/>
    <w:basedOn w:val="1"/>
    <w:next w:val="1"/>
    <w:semiHidden/>
    <w:qFormat/>
    <w:uiPriority w:val="99"/>
    <w:pPr>
      <w:ind w:left="1200"/>
    </w:pPr>
    <w:rPr>
      <w:rFonts w:ascii="Times New Roman" w:hAnsi="Times New Roman" w:cs="Times New Roman"/>
      <w:sz w:val="18"/>
      <w:szCs w:val="18"/>
    </w:rPr>
  </w:style>
  <w:style w:type="paragraph" w:styleId="18">
    <w:name w:val="toc 2"/>
    <w:basedOn w:val="1"/>
    <w:next w:val="1"/>
    <w:link w:val="46"/>
    <w:qFormat/>
    <w:uiPriority w:val="39"/>
    <w:pPr>
      <w:tabs>
        <w:tab w:val="right" w:leader="dot" w:pos="8315"/>
      </w:tabs>
    </w:pPr>
    <w:rPr>
      <w:rFonts w:ascii="Times New Roman" w:hAnsi="Times New Roman" w:cs="Times New Roman"/>
      <w:smallCaps/>
      <w:sz w:val="20"/>
      <w:szCs w:val="20"/>
    </w:rPr>
  </w:style>
  <w:style w:type="paragraph" w:styleId="19">
    <w:name w:val="toc 9"/>
    <w:basedOn w:val="1"/>
    <w:next w:val="1"/>
    <w:semiHidden/>
    <w:qFormat/>
    <w:uiPriority w:val="99"/>
    <w:pPr>
      <w:ind w:left="1920"/>
    </w:pPr>
    <w:rPr>
      <w:rFonts w:ascii="Times New Roman" w:hAnsi="Times New Roman" w:cs="Times New Roman"/>
      <w:sz w:val="18"/>
      <w:szCs w:val="18"/>
    </w:rPr>
  </w:style>
  <w:style w:type="character" w:styleId="21">
    <w:name w:val="Hyperlink"/>
    <w:basedOn w:val="20"/>
    <w:qFormat/>
    <w:uiPriority w:val="99"/>
    <w:rPr>
      <w:color w:val="0066CC"/>
      <w:u w:val="single"/>
    </w:rPr>
  </w:style>
  <w:style w:type="character" w:styleId="22">
    <w:name w:val="annotation reference"/>
    <w:basedOn w:val="20"/>
    <w:semiHidden/>
    <w:qFormat/>
    <w:uiPriority w:val="99"/>
    <w:rPr>
      <w:sz w:val="21"/>
      <w:szCs w:val="21"/>
    </w:rPr>
  </w:style>
  <w:style w:type="table" w:styleId="24">
    <w:name w:val="Table Grid"/>
    <w:basedOn w:val="23"/>
    <w:qFormat/>
    <w:uiPriority w:val="99"/>
    <w:pPr>
      <w:widowControl w:val="0"/>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1 字符"/>
    <w:basedOn w:val="20"/>
    <w:link w:val="2"/>
    <w:qFormat/>
    <w:locked/>
    <w:uiPriority w:val="99"/>
    <w:rPr>
      <w:rFonts w:ascii="方正仿宋简体" w:eastAsia="方正仿宋简体" w:cs="方正仿宋简体"/>
      <w:b/>
      <w:bCs/>
      <w:color w:val="000000"/>
      <w:kern w:val="44"/>
      <w:sz w:val="44"/>
      <w:szCs w:val="44"/>
      <w:lang w:val="zh-TW" w:eastAsia="zh-TW"/>
    </w:rPr>
  </w:style>
  <w:style w:type="character" w:customStyle="1" w:styleId="26">
    <w:name w:val="标题 2 字符"/>
    <w:basedOn w:val="20"/>
    <w:link w:val="3"/>
    <w:qFormat/>
    <w:locked/>
    <w:uiPriority w:val="99"/>
    <w:rPr>
      <w:rFonts w:ascii="方正仿宋简体" w:hAnsi="等线 Light" w:eastAsia="方正仿宋简体" w:cs="方正仿宋简体"/>
      <w:color w:val="000000"/>
      <w:kern w:val="0"/>
      <w:sz w:val="32"/>
      <w:szCs w:val="32"/>
      <w:lang w:val="zh-TW" w:eastAsia="zh-TW"/>
    </w:rPr>
  </w:style>
  <w:style w:type="character" w:customStyle="1" w:styleId="27">
    <w:name w:val="标题 3 字符"/>
    <w:basedOn w:val="20"/>
    <w:link w:val="4"/>
    <w:qFormat/>
    <w:locked/>
    <w:uiPriority w:val="99"/>
    <w:rPr>
      <w:rFonts w:ascii="方正仿宋简体" w:eastAsia="方正仿宋简体" w:cs="方正仿宋简体"/>
      <w:b/>
      <w:bCs/>
      <w:color w:val="000000"/>
      <w:kern w:val="0"/>
      <w:sz w:val="32"/>
      <w:szCs w:val="32"/>
      <w:lang w:val="zh-TW" w:eastAsia="zh-TW"/>
    </w:rPr>
  </w:style>
  <w:style w:type="character" w:customStyle="1" w:styleId="28">
    <w:name w:val="标题 #2_"/>
    <w:basedOn w:val="20"/>
    <w:link w:val="29"/>
    <w:qFormat/>
    <w:locked/>
    <w:uiPriority w:val="99"/>
    <w:rPr>
      <w:rFonts w:ascii="MingLiU" w:eastAsia="MingLiU" w:cs="MingLiU"/>
      <w:sz w:val="45"/>
      <w:szCs w:val="45"/>
      <w:u w:val="none"/>
    </w:rPr>
  </w:style>
  <w:style w:type="paragraph" w:customStyle="1" w:styleId="29">
    <w:name w:val="标题 #2"/>
    <w:basedOn w:val="1"/>
    <w:link w:val="28"/>
    <w:qFormat/>
    <w:uiPriority w:val="99"/>
    <w:pPr>
      <w:shd w:val="clear" w:color="auto" w:fill="FFFFFF"/>
      <w:spacing w:after="1080" w:line="240" w:lineRule="atLeast"/>
      <w:jc w:val="center"/>
      <w:outlineLvl w:val="1"/>
    </w:pPr>
    <w:rPr>
      <w:rFonts w:ascii="MingLiU" w:eastAsia="MingLiU" w:cs="MingLiU"/>
      <w:color w:val="auto"/>
      <w:sz w:val="45"/>
      <w:szCs w:val="45"/>
      <w:lang w:val="en-US" w:eastAsia="zh-CN"/>
    </w:rPr>
  </w:style>
  <w:style w:type="character" w:customStyle="1" w:styleId="30">
    <w:name w:val="页眉或页脚_"/>
    <w:basedOn w:val="20"/>
    <w:link w:val="31"/>
    <w:qFormat/>
    <w:locked/>
    <w:uiPriority w:val="99"/>
    <w:rPr>
      <w:rFonts w:ascii="MingLiU" w:eastAsia="MingLiU" w:cs="MingLiU"/>
      <w:spacing w:val="20"/>
      <w:sz w:val="28"/>
      <w:szCs w:val="28"/>
      <w:u w:val="none"/>
    </w:rPr>
  </w:style>
  <w:style w:type="paragraph" w:customStyle="1" w:styleId="31">
    <w:name w:val="页眉或页脚1"/>
    <w:basedOn w:val="1"/>
    <w:link w:val="30"/>
    <w:qFormat/>
    <w:uiPriority w:val="99"/>
    <w:pPr>
      <w:shd w:val="clear" w:color="auto" w:fill="FFFFFF"/>
      <w:spacing w:line="240" w:lineRule="atLeast"/>
    </w:pPr>
    <w:rPr>
      <w:rFonts w:ascii="MingLiU" w:eastAsia="MingLiU" w:cs="MingLiU"/>
      <w:color w:val="auto"/>
      <w:spacing w:val="20"/>
      <w:sz w:val="28"/>
      <w:szCs w:val="28"/>
      <w:lang w:val="en-US" w:eastAsia="zh-CN"/>
    </w:rPr>
  </w:style>
  <w:style w:type="character" w:customStyle="1" w:styleId="32">
    <w:name w:val="页眉或页脚 + 间距 -2 pt"/>
    <w:basedOn w:val="30"/>
    <w:qFormat/>
    <w:uiPriority w:val="99"/>
    <w:rPr>
      <w:rFonts w:ascii="MingLiU" w:eastAsia="MingLiU" w:cs="MingLiU"/>
      <w:spacing w:val="-40"/>
      <w:sz w:val="28"/>
      <w:szCs w:val="28"/>
      <w:u w:val="none"/>
    </w:rPr>
  </w:style>
  <w:style w:type="character" w:customStyle="1" w:styleId="33">
    <w:name w:val="页眉或页脚 + AngsanaUPC"/>
    <w:basedOn w:val="30"/>
    <w:qFormat/>
    <w:uiPriority w:val="99"/>
    <w:rPr>
      <w:rFonts w:ascii="AngsanaUPC" w:hAnsi="AngsanaUPC" w:eastAsia="MingLiU" w:cs="AngsanaUPC"/>
      <w:b/>
      <w:bCs/>
      <w:spacing w:val="0"/>
      <w:sz w:val="42"/>
      <w:szCs w:val="42"/>
      <w:u w:val="none"/>
    </w:rPr>
  </w:style>
  <w:style w:type="character" w:customStyle="1" w:styleId="34">
    <w:name w:val="正文文本 (2) Exact"/>
    <w:basedOn w:val="20"/>
    <w:qFormat/>
    <w:uiPriority w:val="99"/>
    <w:rPr>
      <w:rFonts w:ascii="Palatino Linotype" w:hAnsi="Palatino Linotype" w:cs="Palatino Linotype"/>
      <w:spacing w:val="33"/>
      <w:sz w:val="26"/>
      <w:szCs w:val="26"/>
      <w:u w:val="none"/>
    </w:rPr>
  </w:style>
  <w:style w:type="character" w:customStyle="1" w:styleId="35">
    <w:name w:val="正文文本 (2) + MingLiU"/>
    <w:basedOn w:val="36"/>
    <w:qFormat/>
    <w:uiPriority w:val="99"/>
    <w:rPr>
      <w:rFonts w:ascii="MingLiU" w:hAnsi="Palatino Linotype" w:eastAsia="MingLiU" w:cs="MingLiU"/>
      <w:color w:val="000000"/>
      <w:spacing w:val="32"/>
      <w:w w:val="100"/>
      <w:position w:val="0"/>
      <w:sz w:val="25"/>
      <w:szCs w:val="25"/>
      <w:u w:val="none"/>
    </w:rPr>
  </w:style>
  <w:style w:type="character" w:customStyle="1" w:styleId="36">
    <w:name w:val="正文文本 (2)_"/>
    <w:basedOn w:val="20"/>
    <w:link w:val="37"/>
    <w:qFormat/>
    <w:locked/>
    <w:uiPriority w:val="99"/>
    <w:rPr>
      <w:rFonts w:ascii="Palatino Linotype" w:hAnsi="Palatino Linotype" w:cs="Palatino Linotype"/>
      <w:spacing w:val="30"/>
      <w:sz w:val="28"/>
      <w:szCs w:val="28"/>
      <w:u w:val="none"/>
    </w:rPr>
  </w:style>
  <w:style w:type="paragraph" w:customStyle="1" w:styleId="37">
    <w:name w:val="正文文本 (2)"/>
    <w:basedOn w:val="1"/>
    <w:link w:val="36"/>
    <w:qFormat/>
    <w:uiPriority w:val="99"/>
    <w:pPr>
      <w:shd w:val="clear" w:color="auto" w:fill="FFFFFF"/>
      <w:spacing w:line="240" w:lineRule="atLeast"/>
    </w:pPr>
    <w:rPr>
      <w:rFonts w:ascii="Palatino Linotype" w:hAnsi="Palatino Linotype" w:cs="Palatino Linotype"/>
      <w:color w:val="auto"/>
      <w:spacing w:val="30"/>
      <w:sz w:val="28"/>
      <w:szCs w:val="28"/>
      <w:lang w:val="en-US" w:eastAsia="zh-CN"/>
    </w:rPr>
  </w:style>
  <w:style w:type="character" w:customStyle="1" w:styleId="38">
    <w:name w:val="正文文本 (2) + MingLiU1"/>
    <w:basedOn w:val="36"/>
    <w:qFormat/>
    <w:uiPriority w:val="99"/>
    <w:rPr>
      <w:rFonts w:ascii="MingLiU" w:hAnsi="Palatino Linotype" w:eastAsia="MingLiU" w:cs="MingLiU"/>
      <w:spacing w:val="30"/>
      <w:sz w:val="27"/>
      <w:szCs w:val="27"/>
      <w:u w:val="none"/>
    </w:rPr>
  </w:style>
  <w:style w:type="character" w:customStyle="1" w:styleId="39">
    <w:name w:val="正文文本 (3)_"/>
    <w:basedOn w:val="20"/>
    <w:link w:val="40"/>
    <w:qFormat/>
    <w:locked/>
    <w:uiPriority w:val="99"/>
    <w:rPr>
      <w:rFonts w:ascii="MingLiU" w:eastAsia="MingLiU" w:cs="MingLiU"/>
      <w:spacing w:val="10"/>
      <w:sz w:val="30"/>
      <w:szCs w:val="30"/>
      <w:u w:val="none"/>
    </w:rPr>
  </w:style>
  <w:style w:type="paragraph" w:customStyle="1" w:styleId="40">
    <w:name w:val="正文文本 (3)"/>
    <w:basedOn w:val="1"/>
    <w:link w:val="39"/>
    <w:qFormat/>
    <w:uiPriority w:val="99"/>
    <w:pPr>
      <w:shd w:val="clear" w:color="auto" w:fill="FFFFFF"/>
      <w:spacing w:line="240" w:lineRule="atLeast"/>
    </w:pPr>
    <w:rPr>
      <w:rFonts w:ascii="MingLiU" w:eastAsia="MingLiU" w:cs="MingLiU"/>
      <w:color w:val="auto"/>
      <w:spacing w:val="10"/>
      <w:sz w:val="30"/>
      <w:szCs w:val="30"/>
      <w:lang w:val="en-US" w:eastAsia="zh-CN"/>
    </w:rPr>
  </w:style>
  <w:style w:type="character" w:customStyle="1" w:styleId="41">
    <w:name w:val="标题 #1_"/>
    <w:basedOn w:val="20"/>
    <w:link w:val="42"/>
    <w:qFormat/>
    <w:locked/>
    <w:uiPriority w:val="99"/>
    <w:rPr>
      <w:rFonts w:ascii="MingLiU" w:eastAsia="MingLiU" w:cs="MingLiU"/>
      <w:sz w:val="45"/>
      <w:szCs w:val="45"/>
      <w:u w:val="none"/>
    </w:rPr>
  </w:style>
  <w:style w:type="paragraph" w:customStyle="1" w:styleId="42">
    <w:name w:val="标题 #1"/>
    <w:basedOn w:val="1"/>
    <w:link w:val="41"/>
    <w:qFormat/>
    <w:uiPriority w:val="99"/>
    <w:pPr>
      <w:shd w:val="clear" w:color="auto" w:fill="FFFFFF"/>
      <w:spacing w:after="420" w:line="240" w:lineRule="atLeast"/>
      <w:jc w:val="center"/>
      <w:outlineLvl w:val="0"/>
    </w:pPr>
    <w:rPr>
      <w:rFonts w:ascii="MingLiU" w:eastAsia="MingLiU" w:cs="MingLiU"/>
      <w:color w:val="auto"/>
      <w:sz w:val="45"/>
      <w:szCs w:val="45"/>
      <w:lang w:val="en-US" w:eastAsia="zh-CN"/>
    </w:rPr>
  </w:style>
  <w:style w:type="character" w:customStyle="1" w:styleId="43">
    <w:name w:val="目录 (2)_"/>
    <w:basedOn w:val="20"/>
    <w:link w:val="44"/>
    <w:qFormat/>
    <w:locked/>
    <w:uiPriority w:val="99"/>
    <w:rPr>
      <w:rFonts w:ascii="宋体" w:eastAsia="宋体" w:cs="宋体"/>
      <w:spacing w:val="10"/>
      <w:sz w:val="27"/>
      <w:szCs w:val="27"/>
      <w:u w:val="none"/>
    </w:rPr>
  </w:style>
  <w:style w:type="paragraph" w:customStyle="1" w:styleId="44">
    <w:name w:val="目录 (2)"/>
    <w:basedOn w:val="1"/>
    <w:link w:val="43"/>
    <w:qFormat/>
    <w:uiPriority w:val="99"/>
    <w:pPr>
      <w:shd w:val="clear" w:color="auto" w:fill="FFFFFF"/>
      <w:spacing w:before="420" w:line="480" w:lineRule="exact"/>
    </w:pPr>
    <w:rPr>
      <w:rFonts w:ascii="宋体" w:hAnsi="宋体" w:cs="宋体"/>
      <w:color w:val="auto"/>
      <w:spacing w:val="10"/>
      <w:sz w:val="27"/>
      <w:szCs w:val="27"/>
      <w:lang w:val="en-US" w:eastAsia="zh-CN"/>
    </w:rPr>
  </w:style>
  <w:style w:type="character" w:customStyle="1" w:styleId="45">
    <w:name w:val="目录 (2) + MingLiU"/>
    <w:basedOn w:val="43"/>
    <w:qFormat/>
    <w:uiPriority w:val="99"/>
    <w:rPr>
      <w:rFonts w:ascii="MingLiU" w:hAnsi="宋体" w:eastAsia="MingLiU" w:cs="MingLiU"/>
      <w:spacing w:val="-50"/>
      <w:sz w:val="24"/>
      <w:szCs w:val="24"/>
      <w:u w:val="none"/>
    </w:rPr>
  </w:style>
  <w:style w:type="character" w:customStyle="1" w:styleId="46">
    <w:name w:val="TOC 2 字符"/>
    <w:basedOn w:val="20"/>
    <w:link w:val="18"/>
    <w:semiHidden/>
    <w:qFormat/>
    <w:locked/>
    <w:uiPriority w:val="99"/>
    <w:rPr>
      <w:rFonts w:ascii="Times New Roman" w:hAnsi="Times New Roman" w:cs="Times New Roman"/>
      <w:smallCaps/>
      <w:color w:val="000000"/>
      <w:kern w:val="0"/>
      <w:sz w:val="20"/>
      <w:szCs w:val="20"/>
      <w:lang w:val="zh-TW" w:eastAsia="zh-TW"/>
    </w:rPr>
  </w:style>
  <w:style w:type="character" w:customStyle="1" w:styleId="47">
    <w:name w:val="目录 + SimSun"/>
    <w:basedOn w:val="46"/>
    <w:qFormat/>
    <w:uiPriority w:val="99"/>
    <w:rPr>
      <w:rFonts w:ascii="宋体" w:hAnsi="宋体" w:eastAsia="宋体" w:cs="宋体"/>
      <w:color w:val="000000"/>
      <w:spacing w:val="-10"/>
      <w:kern w:val="0"/>
      <w:sz w:val="22"/>
      <w:szCs w:val="22"/>
      <w:lang w:val="en-US" w:eastAsia="en-US"/>
    </w:rPr>
  </w:style>
  <w:style w:type="character" w:customStyle="1" w:styleId="48">
    <w:name w:val="目录 (3)_"/>
    <w:basedOn w:val="20"/>
    <w:link w:val="49"/>
    <w:qFormat/>
    <w:locked/>
    <w:uiPriority w:val="99"/>
    <w:rPr>
      <w:rFonts w:ascii="宋体" w:eastAsia="宋体" w:cs="宋体"/>
      <w:spacing w:val="-10"/>
      <w:sz w:val="22"/>
      <w:szCs w:val="22"/>
      <w:u w:val="none"/>
    </w:rPr>
  </w:style>
  <w:style w:type="paragraph" w:customStyle="1" w:styleId="49">
    <w:name w:val="目录 (3)"/>
    <w:basedOn w:val="1"/>
    <w:link w:val="48"/>
    <w:qFormat/>
    <w:uiPriority w:val="99"/>
    <w:pPr>
      <w:shd w:val="clear" w:color="auto" w:fill="FFFFFF"/>
      <w:spacing w:line="480" w:lineRule="exact"/>
    </w:pPr>
    <w:rPr>
      <w:rFonts w:ascii="宋体" w:hAnsi="宋体" w:cs="宋体"/>
      <w:color w:val="auto"/>
      <w:spacing w:val="-10"/>
      <w:sz w:val="22"/>
      <w:szCs w:val="22"/>
      <w:lang w:val="en-US" w:eastAsia="zh-CN"/>
    </w:rPr>
  </w:style>
  <w:style w:type="character" w:customStyle="1" w:styleId="50">
    <w:name w:val="目录 (3) + MingLiU"/>
    <w:basedOn w:val="48"/>
    <w:qFormat/>
    <w:uiPriority w:val="99"/>
    <w:rPr>
      <w:rFonts w:ascii="MingLiU" w:hAnsi="宋体" w:eastAsia="MingLiU" w:cs="MingLiU"/>
      <w:spacing w:val="30"/>
      <w:sz w:val="20"/>
      <w:szCs w:val="20"/>
      <w:u w:val="none"/>
    </w:rPr>
  </w:style>
  <w:style w:type="character" w:customStyle="1" w:styleId="51">
    <w:name w:val="页眉或页脚 + SimSun"/>
    <w:basedOn w:val="30"/>
    <w:qFormat/>
    <w:uiPriority w:val="99"/>
    <w:rPr>
      <w:rFonts w:ascii="宋体" w:hAnsi="宋体" w:eastAsia="MingLiU" w:cs="宋体"/>
      <w:spacing w:val="0"/>
      <w:sz w:val="22"/>
      <w:szCs w:val="22"/>
      <w:u w:val="none"/>
    </w:rPr>
  </w:style>
  <w:style w:type="character" w:customStyle="1" w:styleId="52">
    <w:name w:val="页眉或页脚 + SimSun3"/>
    <w:basedOn w:val="30"/>
    <w:qFormat/>
    <w:uiPriority w:val="99"/>
    <w:rPr>
      <w:rFonts w:ascii="宋体" w:hAnsi="宋体" w:eastAsia="MingLiU" w:cs="宋体"/>
      <w:spacing w:val="0"/>
      <w:sz w:val="20"/>
      <w:szCs w:val="20"/>
      <w:u w:val="none"/>
    </w:rPr>
  </w:style>
  <w:style w:type="character" w:customStyle="1" w:styleId="53">
    <w:name w:val="页眉或页脚 + 10 pt"/>
    <w:basedOn w:val="30"/>
    <w:qFormat/>
    <w:uiPriority w:val="99"/>
    <w:rPr>
      <w:rFonts w:ascii="MingLiU" w:eastAsia="MingLiU" w:cs="MingLiU"/>
      <w:spacing w:val="30"/>
      <w:sz w:val="20"/>
      <w:szCs w:val="20"/>
      <w:u w:val="none"/>
    </w:rPr>
  </w:style>
  <w:style w:type="character" w:customStyle="1" w:styleId="54">
    <w:name w:val="目录 (3) + MingLiU1"/>
    <w:basedOn w:val="48"/>
    <w:qFormat/>
    <w:uiPriority w:val="99"/>
    <w:rPr>
      <w:rFonts w:ascii="MingLiU" w:hAnsi="宋体" w:eastAsia="MingLiU" w:cs="MingLiU"/>
      <w:i/>
      <w:iCs/>
      <w:spacing w:val="30"/>
      <w:sz w:val="20"/>
      <w:szCs w:val="20"/>
      <w:u w:val="none"/>
    </w:rPr>
  </w:style>
  <w:style w:type="character" w:customStyle="1" w:styleId="55">
    <w:name w:val="正文文本 (4) + Palatino Linotype"/>
    <w:basedOn w:val="56"/>
    <w:qFormat/>
    <w:uiPriority w:val="99"/>
    <w:rPr>
      <w:rFonts w:ascii="Palatino Linotype" w:hAnsi="Palatino Linotype" w:eastAsia="MingLiU" w:cs="Palatino Linotype"/>
      <w:color w:val="000000"/>
      <w:spacing w:val="0"/>
      <w:w w:val="100"/>
      <w:position w:val="0"/>
      <w:sz w:val="31"/>
      <w:szCs w:val="31"/>
      <w:u w:val="none"/>
    </w:rPr>
  </w:style>
  <w:style w:type="character" w:customStyle="1" w:styleId="56">
    <w:name w:val="正文文本 (4)_"/>
    <w:basedOn w:val="20"/>
    <w:link w:val="57"/>
    <w:qFormat/>
    <w:locked/>
    <w:uiPriority w:val="99"/>
    <w:rPr>
      <w:rFonts w:ascii="MingLiU" w:eastAsia="MingLiU" w:cs="MingLiU"/>
      <w:b/>
      <w:bCs/>
      <w:sz w:val="31"/>
      <w:szCs w:val="31"/>
      <w:u w:val="none"/>
    </w:rPr>
  </w:style>
  <w:style w:type="paragraph" w:customStyle="1" w:styleId="57">
    <w:name w:val="正文文本 (4)"/>
    <w:basedOn w:val="1"/>
    <w:link w:val="56"/>
    <w:qFormat/>
    <w:uiPriority w:val="99"/>
    <w:pPr>
      <w:shd w:val="clear" w:color="auto" w:fill="FFFFFF"/>
      <w:spacing w:after="240" w:line="240" w:lineRule="atLeast"/>
    </w:pPr>
    <w:rPr>
      <w:rFonts w:ascii="MingLiU" w:eastAsia="MingLiU" w:cs="MingLiU"/>
      <w:b/>
      <w:bCs/>
      <w:color w:val="auto"/>
      <w:sz w:val="31"/>
      <w:szCs w:val="31"/>
      <w:lang w:val="en-US" w:eastAsia="zh-CN"/>
    </w:rPr>
  </w:style>
  <w:style w:type="character" w:customStyle="1" w:styleId="58">
    <w:name w:val="正文文本 字符1"/>
    <w:basedOn w:val="20"/>
    <w:link w:val="8"/>
    <w:qFormat/>
    <w:locked/>
    <w:uiPriority w:val="99"/>
    <w:rPr>
      <w:rFonts w:ascii="MingLiU" w:eastAsia="MingLiU" w:cs="MingLiU"/>
      <w:spacing w:val="30"/>
      <w:sz w:val="27"/>
      <w:szCs w:val="27"/>
      <w:u w:val="none"/>
    </w:rPr>
  </w:style>
  <w:style w:type="character" w:customStyle="1" w:styleId="59">
    <w:name w:val="正文文本 + Palatino Linotype"/>
    <w:basedOn w:val="58"/>
    <w:qFormat/>
    <w:uiPriority w:val="99"/>
    <w:rPr>
      <w:rFonts w:ascii="Palatino Linotype" w:hAnsi="Palatino Linotype" w:eastAsia="MingLiU" w:cs="Palatino Linotype"/>
      <w:spacing w:val="30"/>
      <w:sz w:val="28"/>
      <w:szCs w:val="28"/>
      <w:u w:val="none"/>
      <w:lang w:val="en-US" w:eastAsia="en-US"/>
    </w:rPr>
  </w:style>
  <w:style w:type="character" w:customStyle="1" w:styleId="60">
    <w:name w:val="页眉或页脚 + SimSun2"/>
    <w:basedOn w:val="30"/>
    <w:qFormat/>
    <w:uiPriority w:val="99"/>
    <w:rPr>
      <w:rFonts w:ascii="宋体" w:hAnsi="宋体" w:eastAsia="MingLiU" w:cs="宋体"/>
      <w:spacing w:val="0"/>
      <w:sz w:val="31"/>
      <w:szCs w:val="31"/>
      <w:u w:val="none"/>
    </w:rPr>
  </w:style>
  <w:style w:type="character" w:customStyle="1" w:styleId="61">
    <w:name w:val="页眉或页脚 + SimSun1"/>
    <w:basedOn w:val="30"/>
    <w:qFormat/>
    <w:uiPriority w:val="99"/>
    <w:rPr>
      <w:rFonts w:ascii="宋体" w:hAnsi="宋体" w:eastAsia="MingLiU" w:cs="宋体"/>
      <w:spacing w:val="0"/>
      <w:sz w:val="28"/>
      <w:szCs w:val="28"/>
      <w:u w:val="none"/>
    </w:rPr>
  </w:style>
  <w:style w:type="character" w:customStyle="1" w:styleId="62">
    <w:name w:val="页眉或页脚"/>
    <w:basedOn w:val="30"/>
    <w:qFormat/>
    <w:uiPriority w:val="99"/>
    <w:rPr>
      <w:rFonts w:ascii="MingLiU" w:eastAsia="MingLiU" w:cs="MingLiU"/>
      <w:spacing w:val="20"/>
      <w:sz w:val="28"/>
      <w:szCs w:val="28"/>
      <w:u w:val="none"/>
    </w:rPr>
  </w:style>
  <w:style w:type="character" w:customStyle="1" w:styleId="63">
    <w:name w:val="标题 #3_"/>
    <w:basedOn w:val="20"/>
    <w:link w:val="64"/>
    <w:qFormat/>
    <w:locked/>
    <w:uiPriority w:val="99"/>
    <w:rPr>
      <w:rFonts w:ascii="MingLiU" w:eastAsia="MingLiU" w:cs="MingLiU"/>
      <w:b/>
      <w:bCs/>
      <w:sz w:val="31"/>
      <w:szCs w:val="31"/>
      <w:u w:val="none"/>
    </w:rPr>
  </w:style>
  <w:style w:type="paragraph" w:customStyle="1" w:styleId="64">
    <w:name w:val="标题 #3"/>
    <w:basedOn w:val="1"/>
    <w:link w:val="63"/>
    <w:qFormat/>
    <w:uiPriority w:val="99"/>
    <w:pPr>
      <w:shd w:val="clear" w:color="auto" w:fill="FFFFFF"/>
      <w:spacing w:before="600" w:after="240" w:line="240" w:lineRule="atLeast"/>
      <w:outlineLvl w:val="2"/>
    </w:pPr>
    <w:rPr>
      <w:rFonts w:ascii="MingLiU" w:eastAsia="MingLiU" w:cs="MingLiU"/>
      <w:b/>
      <w:bCs/>
      <w:color w:val="auto"/>
      <w:sz w:val="31"/>
      <w:szCs w:val="31"/>
      <w:lang w:val="en-US" w:eastAsia="zh-CN"/>
    </w:rPr>
  </w:style>
  <w:style w:type="character" w:customStyle="1" w:styleId="65">
    <w:name w:val="标题 #3 + Palatino Linotype"/>
    <w:basedOn w:val="63"/>
    <w:qFormat/>
    <w:uiPriority w:val="99"/>
    <w:rPr>
      <w:rFonts w:ascii="Palatino Linotype" w:hAnsi="Palatino Linotype" w:eastAsia="MingLiU" w:cs="Palatino Linotype"/>
      <w:sz w:val="31"/>
      <w:szCs w:val="31"/>
      <w:u w:val="none"/>
    </w:rPr>
  </w:style>
  <w:style w:type="character" w:customStyle="1" w:styleId="66">
    <w:name w:val="正文文本 + 间距 0 pt"/>
    <w:basedOn w:val="58"/>
    <w:qFormat/>
    <w:uiPriority w:val="99"/>
    <w:rPr>
      <w:rFonts w:ascii="MingLiU" w:eastAsia="MingLiU" w:cs="MingLiU"/>
      <w:spacing w:val="0"/>
      <w:sz w:val="27"/>
      <w:szCs w:val="27"/>
      <w:u w:val="none"/>
    </w:rPr>
  </w:style>
  <w:style w:type="character" w:customStyle="1" w:styleId="67">
    <w:name w:val="正文文本 + Palatino Linotype2"/>
    <w:basedOn w:val="58"/>
    <w:qFormat/>
    <w:uiPriority w:val="99"/>
    <w:rPr>
      <w:rFonts w:ascii="Palatino Linotype" w:hAnsi="Palatino Linotype" w:eastAsia="MingLiU" w:cs="Palatino Linotype"/>
      <w:spacing w:val="70"/>
      <w:sz w:val="28"/>
      <w:szCs w:val="28"/>
      <w:u w:val="none"/>
      <w:lang w:val="en-US" w:eastAsia="en-US"/>
    </w:rPr>
  </w:style>
  <w:style w:type="character" w:customStyle="1" w:styleId="68">
    <w:name w:val="页眉或页脚 + 15.5 pt"/>
    <w:basedOn w:val="30"/>
    <w:qFormat/>
    <w:uiPriority w:val="99"/>
    <w:rPr>
      <w:rFonts w:ascii="MingLiU" w:eastAsia="MingLiU" w:cs="MingLiU"/>
      <w:spacing w:val="0"/>
      <w:sz w:val="31"/>
      <w:szCs w:val="31"/>
      <w:u w:val="none"/>
    </w:rPr>
  </w:style>
  <w:style w:type="character" w:customStyle="1" w:styleId="69">
    <w:name w:val="页眉或页脚 + Lucida Sans Unicode"/>
    <w:basedOn w:val="30"/>
    <w:qFormat/>
    <w:uiPriority w:val="99"/>
    <w:rPr>
      <w:rFonts w:ascii="Lucida Sans Unicode" w:hAnsi="Lucida Sans Unicode" w:eastAsia="MingLiU" w:cs="Lucida Sans Unicode"/>
      <w:spacing w:val="0"/>
      <w:sz w:val="29"/>
      <w:szCs w:val="29"/>
      <w:u w:val="none"/>
    </w:rPr>
  </w:style>
  <w:style w:type="character" w:customStyle="1" w:styleId="70">
    <w:name w:val="正文文本 (5)_"/>
    <w:basedOn w:val="20"/>
    <w:link w:val="71"/>
    <w:qFormat/>
    <w:locked/>
    <w:uiPriority w:val="99"/>
    <w:rPr>
      <w:rFonts w:ascii="MingLiU" w:eastAsia="MingLiU" w:cs="MingLiU"/>
      <w:spacing w:val="30"/>
      <w:u w:val="none"/>
    </w:rPr>
  </w:style>
  <w:style w:type="paragraph" w:customStyle="1" w:styleId="71">
    <w:name w:val="正文文本 (5)"/>
    <w:basedOn w:val="1"/>
    <w:link w:val="70"/>
    <w:qFormat/>
    <w:uiPriority w:val="99"/>
    <w:pPr>
      <w:shd w:val="clear" w:color="auto" w:fill="FFFFFF"/>
      <w:spacing w:before="840" w:line="581" w:lineRule="exact"/>
    </w:pPr>
    <w:rPr>
      <w:rFonts w:ascii="MingLiU" w:eastAsia="MingLiU" w:cs="MingLiU"/>
      <w:color w:val="auto"/>
      <w:spacing w:val="30"/>
      <w:lang w:val="en-US" w:eastAsia="zh-CN"/>
    </w:rPr>
  </w:style>
  <w:style w:type="character" w:customStyle="1" w:styleId="72">
    <w:name w:val="正文文本 + 10 pt"/>
    <w:basedOn w:val="58"/>
    <w:qFormat/>
    <w:uiPriority w:val="99"/>
    <w:rPr>
      <w:rFonts w:ascii="MingLiU" w:eastAsia="MingLiU" w:cs="MingLiU"/>
      <w:spacing w:val="0"/>
      <w:sz w:val="20"/>
      <w:szCs w:val="20"/>
      <w:u w:val="none"/>
    </w:rPr>
  </w:style>
  <w:style w:type="character" w:customStyle="1" w:styleId="73">
    <w:name w:val="正文文本 + SimSun"/>
    <w:basedOn w:val="58"/>
    <w:qFormat/>
    <w:uiPriority w:val="99"/>
    <w:rPr>
      <w:rFonts w:ascii="宋体" w:hAnsi="宋体" w:eastAsia="MingLiU" w:cs="宋体"/>
      <w:spacing w:val="0"/>
      <w:sz w:val="21"/>
      <w:szCs w:val="21"/>
      <w:u w:val="none"/>
    </w:rPr>
  </w:style>
  <w:style w:type="character" w:customStyle="1" w:styleId="74">
    <w:name w:val="正文文本 + 10 pt1"/>
    <w:basedOn w:val="58"/>
    <w:qFormat/>
    <w:uiPriority w:val="99"/>
    <w:rPr>
      <w:rFonts w:ascii="MingLiU" w:eastAsia="MingLiU" w:cs="MingLiU"/>
      <w:spacing w:val="10"/>
      <w:sz w:val="20"/>
      <w:szCs w:val="20"/>
      <w:u w:val="none"/>
    </w:rPr>
  </w:style>
  <w:style w:type="character" w:customStyle="1" w:styleId="75">
    <w:name w:val="正文文本 + SimSun2"/>
    <w:basedOn w:val="58"/>
    <w:qFormat/>
    <w:uiPriority w:val="99"/>
    <w:rPr>
      <w:rFonts w:ascii="宋体" w:hAnsi="宋体" w:eastAsia="MingLiU" w:cs="宋体"/>
      <w:spacing w:val="0"/>
      <w:sz w:val="21"/>
      <w:szCs w:val="21"/>
      <w:u w:val="none"/>
      <w:lang w:val="en-US" w:eastAsia="en-US"/>
    </w:rPr>
  </w:style>
  <w:style w:type="character" w:customStyle="1" w:styleId="76">
    <w:name w:val="正文文本 (5) + SimSun"/>
    <w:basedOn w:val="70"/>
    <w:qFormat/>
    <w:uiPriority w:val="99"/>
    <w:rPr>
      <w:rFonts w:ascii="宋体" w:hAnsi="宋体" w:eastAsia="MingLiU" w:cs="宋体"/>
      <w:spacing w:val="10"/>
      <w:sz w:val="27"/>
      <w:szCs w:val="27"/>
      <w:u w:val="none"/>
      <w:lang w:val="en-US" w:eastAsia="en-US"/>
    </w:rPr>
  </w:style>
  <w:style w:type="character" w:customStyle="1" w:styleId="77">
    <w:name w:val="正文文本 + 11 pt"/>
    <w:basedOn w:val="58"/>
    <w:qFormat/>
    <w:uiPriority w:val="99"/>
    <w:rPr>
      <w:rFonts w:ascii="MingLiU" w:eastAsia="MingLiU" w:cs="MingLiU"/>
      <w:spacing w:val="10"/>
      <w:sz w:val="22"/>
      <w:szCs w:val="22"/>
      <w:u w:val="none"/>
    </w:rPr>
  </w:style>
  <w:style w:type="character" w:customStyle="1" w:styleId="78">
    <w:name w:val="正文文本 + SimSun1"/>
    <w:basedOn w:val="58"/>
    <w:qFormat/>
    <w:uiPriority w:val="99"/>
    <w:rPr>
      <w:rFonts w:ascii="宋体" w:hAnsi="宋体" w:eastAsia="MingLiU" w:cs="宋体"/>
      <w:spacing w:val="0"/>
      <w:sz w:val="23"/>
      <w:szCs w:val="23"/>
      <w:u w:val="none"/>
      <w:lang w:val="en-US" w:eastAsia="en-US"/>
    </w:rPr>
  </w:style>
  <w:style w:type="character" w:customStyle="1" w:styleId="79">
    <w:name w:val="标题 #2 + 间距 0 pt"/>
    <w:basedOn w:val="28"/>
    <w:qFormat/>
    <w:uiPriority w:val="99"/>
    <w:rPr>
      <w:rFonts w:ascii="MingLiU" w:eastAsia="MingLiU" w:cs="MingLiU"/>
      <w:spacing w:val="-10"/>
      <w:sz w:val="45"/>
      <w:szCs w:val="45"/>
      <w:u w:val="none"/>
    </w:rPr>
  </w:style>
  <w:style w:type="character" w:customStyle="1" w:styleId="80">
    <w:name w:val="正文文本 + Palatino Linotype1"/>
    <w:basedOn w:val="58"/>
    <w:qFormat/>
    <w:uiPriority w:val="99"/>
    <w:rPr>
      <w:rFonts w:ascii="Palatino Linotype" w:hAnsi="Palatino Linotype" w:eastAsia="MingLiU" w:cs="Palatino Linotype"/>
      <w:spacing w:val="20"/>
      <w:sz w:val="28"/>
      <w:szCs w:val="28"/>
      <w:u w:val="none"/>
      <w:lang w:val="en-US" w:eastAsia="en-US"/>
    </w:rPr>
  </w:style>
  <w:style w:type="character" w:customStyle="1" w:styleId="81">
    <w:name w:val="Body Text Char1"/>
    <w:basedOn w:val="20"/>
    <w:semiHidden/>
    <w:qFormat/>
    <w:locked/>
    <w:uiPriority w:val="99"/>
    <w:rPr>
      <w:color w:val="000000"/>
      <w:kern w:val="0"/>
      <w:sz w:val="24"/>
      <w:szCs w:val="24"/>
      <w:lang w:val="zh-TW" w:eastAsia="zh-TW"/>
    </w:rPr>
  </w:style>
  <w:style w:type="character" w:customStyle="1" w:styleId="82">
    <w:name w:val="正文文本 字符"/>
    <w:basedOn w:val="20"/>
    <w:semiHidden/>
    <w:qFormat/>
    <w:uiPriority w:val="99"/>
    <w:rPr>
      <w:color w:val="000000"/>
      <w:kern w:val="0"/>
      <w:sz w:val="24"/>
      <w:szCs w:val="24"/>
      <w:lang w:val="zh-TW" w:eastAsia="zh-TW"/>
    </w:rPr>
  </w:style>
  <w:style w:type="character" w:customStyle="1" w:styleId="83">
    <w:name w:val="正文文本 + 间距 3 pt"/>
    <w:basedOn w:val="58"/>
    <w:qFormat/>
    <w:uiPriority w:val="99"/>
    <w:rPr>
      <w:rFonts w:ascii="MingLiU" w:eastAsia="MingLiU" w:cs="MingLiU"/>
      <w:spacing w:val="70"/>
      <w:sz w:val="27"/>
      <w:szCs w:val="27"/>
      <w:u w:val="none"/>
    </w:rPr>
  </w:style>
  <w:style w:type="character" w:customStyle="1" w:styleId="84">
    <w:name w:val="正文文本 (6) Exact"/>
    <w:basedOn w:val="20"/>
    <w:qFormat/>
    <w:uiPriority w:val="99"/>
    <w:rPr>
      <w:rFonts w:ascii="MingLiU" w:eastAsia="MingLiU" w:cs="MingLiU"/>
      <w:spacing w:val="28"/>
      <w:sz w:val="20"/>
      <w:szCs w:val="20"/>
      <w:u w:val="none"/>
    </w:rPr>
  </w:style>
  <w:style w:type="character" w:customStyle="1" w:styleId="85">
    <w:name w:val="正文文本 (6) + SimSun"/>
    <w:basedOn w:val="86"/>
    <w:qFormat/>
    <w:uiPriority w:val="99"/>
    <w:rPr>
      <w:rFonts w:ascii="宋体" w:hAnsi="宋体" w:eastAsia="MingLiU" w:cs="宋体"/>
      <w:color w:val="000000"/>
      <w:spacing w:val="-9"/>
      <w:w w:val="100"/>
      <w:position w:val="0"/>
      <w:sz w:val="21"/>
      <w:szCs w:val="21"/>
      <w:u w:val="none"/>
      <w:lang w:val="en-US" w:eastAsia="en-US"/>
    </w:rPr>
  </w:style>
  <w:style w:type="character" w:customStyle="1" w:styleId="86">
    <w:name w:val="正文文本 (6)_"/>
    <w:basedOn w:val="20"/>
    <w:link w:val="87"/>
    <w:qFormat/>
    <w:locked/>
    <w:uiPriority w:val="99"/>
    <w:rPr>
      <w:rFonts w:ascii="MingLiU" w:eastAsia="MingLiU" w:cs="MingLiU"/>
      <w:spacing w:val="30"/>
      <w:sz w:val="20"/>
      <w:szCs w:val="20"/>
      <w:u w:val="none"/>
    </w:rPr>
  </w:style>
  <w:style w:type="paragraph" w:customStyle="1" w:styleId="87">
    <w:name w:val="正文文本 (6)"/>
    <w:basedOn w:val="1"/>
    <w:link w:val="86"/>
    <w:qFormat/>
    <w:uiPriority w:val="99"/>
    <w:pPr>
      <w:shd w:val="clear" w:color="auto" w:fill="FFFFFF"/>
      <w:spacing w:line="336" w:lineRule="exact"/>
    </w:pPr>
    <w:rPr>
      <w:rFonts w:ascii="MingLiU" w:eastAsia="MingLiU" w:cs="MingLiU"/>
      <w:color w:val="auto"/>
      <w:spacing w:val="30"/>
      <w:sz w:val="20"/>
      <w:szCs w:val="20"/>
      <w:lang w:val="en-US" w:eastAsia="zh-CN"/>
    </w:rPr>
  </w:style>
  <w:style w:type="character" w:customStyle="1" w:styleId="88">
    <w:name w:val="正文文本 (4) Exact"/>
    <w:basedOn w:val="20"/>
    <w:qFormat/>
    <w:uiPriority w:val="99"/>
    <w:rPr>
      <w:rFonts w:ascii="MingLiU" w:eastAsia="MingLiU" w:cs="MingLiU"/>
      <w:b/>
      <w:bCs/>
      <w:spacing w:val="-6"/>
      <w:sz w:val="30"/>
      <w:szCs w:val="30"/>
      <w:u w:val="none"/>
    </w:rPr>
  </w:style>
  <w:style w:type="character" w:customStyle="1" w:styleId="89">
    <w:name w:val="正文文本 Exact"/>
    <w:basedOn w:val="20"/>
    <w:qFormat/>
    <w:uiPriority w:val="99"/>
    <w:rPr>
      <w:rFonts w:ascii="MingLiU" w:eastAsia="MingLiU" w:cs="MingLiU"/>
      <w:spacing w:val="32"/>
      <w:sz w:val="25"/>
      <w:szCs w:val="25"/>
      <w:u w:val="none"/>
    </w:rPr>
  </w:style>
  <w:style w:type="character" w:customStyle="1" w:styleId="90">
    <w:name w:val="正文文本 (7) Exact"/>
    <w:basedOn w:val="20"/>
    <w:qFormat/>
    <w:uiPriority w:val="99"/>
    <w:rPr>
      <w:rFonts w:ascii="MingLiU" w:eastAsia="MingLiU" w:cs="MingLiU"/>
      <w:spacing w:val="21"/>
      <w:sz w:val="14"/>
      <w:szCs w:val="14"/>
      <w:u w:val="none"/>
    </w:rPr>
  </w:style>
  <w:style w:type="character" w:customStyle="1" w:styleId="91">
    <w:name w:val="正文文本 (7) + Palatino Linotype"/>
    <w:basedOn w:val="92"/>
    <w:qFormat/>
    <w:uiPriority w:val="99"/>
    <w:rPr>
      <w:rFonts w:ascii="Palatino Linotype" w:hAnsi="Palatino Linotype" w:eastAsia="MingLiU" w:cs="Palatino Linotype"/>
      <w:color w:val="000000"/>
      <w:spacing w:val="15"/>
      <w:w w:val="100"/>
      <w:position w:val="0"/>
      <w:sz w:val="14"/>
      <w:szCs w:val="14"/>
      <w:u w:val="none"/>
      <w:lang w:val="en-US" w:eastAsia="en-US"/>
    </w:rPr>
  </w:style>
  <w:style w:type="character" w:customStyle="1" w:styleId="92">
    <w:name w:val="正文文本 (7)_"/>
    <w:basedOn w:val="20"/>
    <w:link w:val="93"/>
    <w:qFormat/>
    <w:locked/>
    <w:uiPriority w:val="99"/>
    <w:rPr>
      <w:rFonts w:ascii="MingLiU" w:eastAsia="MingLiU" w:cs="MingLiU"/>
      <w:spacing w:val="20"/>
      <w:sz w:val="15"/>
      <w:szCs w:val="15"/>
      <w:u w:val="none"/>
    </w:rPr>
  </w:style>
  <w:style w:type="paragraph" w:customStyle="1" w:styleId="93">
    <w:name w:val="正文文本 (7)"/>
    <w:basedOn w:val="1"/>
    <w:link w:val="92"/>
    <w:qFormat/>
    <w:uiPriority w:val="99"/>
    <w:pPr>
      <w:shd w:val="clear" w:color="auto" w:fill="FFFFFF"/>
      <w:spacing w:line="336" w:lineRule="exact"/>
    </w:pPr>
    <w:rPr>
      <w:rFonts w:ascii="MingLiU" w:eastAsia="MingLiU" w:cs="MingLiU"/>
      <w:color w:val="auto"/>
      <w:spacing w:val="20"/>
      <w:sz w:val="15"/>
      <w:szCs w:val="15"/>
      <w:lang w:val="en-US" w:eastAsia="zh-CN"/>
    </w:rPr>
  </w:style>
  <w:style w:type="character" w:customStyle="1" w:styleId="94">
    <w:name w:val="正文文本 (8) Exact"/>
    <w:basedOn w:val="20"/>
    <w:qFormat/>
    <w:uiPriority w:val="99"/>
    <w:rPr>
      <w:rFonts w:ascii="Palatino Linotype" w:hAnsi="Palatino Linotype" w:cs="Palatino Linotype"/>
      <w:spacing w:val="15"/>
      <w:sz w:val="14"/>
      <w:szCs w:val="14"/>
      <w:u w:val="none"/>
      <w:lang w:val="en-US" w:eastAsia="en-US"/>
    </w:rPr>
  </w:style>
  <w:style w:type="character" w:customStyle="1" w:styleId="95">
    <w:name w:val="正文文本 (8) + MingLiU"/>
    <w:basedOn w:val="96"/>
    <w:qFormat/>
    <w:uiPriority w:val="99"/>
    <w:rPr>
      <w:rFonts w:ascii="MingLiU" w:hAnsi="Palatino Linotype" w:eastAsia="MingLiU" w:cs="MingLiU"/>
      <w:color w:val="000000"/>
      <w:spacing w:val="21"/>
      <w:w w:val="100"/>
      <w:position w:val="0"/>
      <w:sz w:val="14"/>
      <w:szCs w:val="14"/>
      <w:u w:val="none"/>
      <w:lang w:val="en-US" w:eastAsia="en-US"/>
    </w:rPr>
  </w:style>
  <w:style w:type="character" w:customStyle="1" w:styleId="96">
    <w:name w:val="正文文本 (8)_"/>
    <w:basedOn w:val="20"/>
    <w:link w:val="97"/>
    <w:qFormat/>
    <w:locked/>
    <w:uiPriority w:val="99"/>
    <w:rPr>
      <w:rFonts w:ascii="Palatino Linotype" w:hAnsi="Palatino Linotype" w:cs="Palatino Linotype"/>
      <w:spacing w:val="10"/>
      <w:sz w:val="15"/>
      <w:szCs w:val="15"/>
      <w:u w:val="none"/>
      <w:lang w:val="en-US" w:eastAsia="en-US"/>
    </w:rPr>
  </w:style>
  <w:style w:type="paragraph" w:customStyle="1" w:styleId="97">
    <w:name w:val="正文文本 (8)"/>
    <w:basedOn w:val="1"/>
    <w:link w:val="96"/>
    <w:qFormat/>
    <w:uiPriority w:val="99"/>
    <w:pPr>
      <w:shd w:val="clear" w:color="auto" w:fill="FFFFFF"/>
      <w:spacing w:line="346" w:lineRule="exact"/>
    </w:pPr>
    <w:rPr>
      <w:rFonts w:ascii="Palatino Linotype" w:hAnsi="Palatino Linotype" w:cs="Palatino Linotype"/>
      <w:color w:val="auto"/>
      <w:spacing w:val="10"/>
      <w:sz w:val="15"/>
      <w:szCs w:val="15"/>
      <w:lang w:val="en-US" w:eastAsia="en-US"/>
    </w:rPr>
  </w:style>
  <w:style w:type="character" w:customStyle="1" w:styleId="98">
    <w:name w:val="正文文本 (6) + SimSun2"/>
    <w:basedOn w:val="86"/>
    <w:qFormat/>
    <w:uiPriority w:val="99"/>
    <w:rPr>
      <w:rFonts w:ascii="宋体" w:hAnsi="宋体" w:eastAsia="MingLiU" w:cs="宋体"/>
      <w:color w:val="000000"/>
      <w:spacing w:val="14"/>
      <w:w w:val="100"/>
      <w:position w:val="0"/>
      <w:sz w:val="21"/>
      <w:szCs w:val="21"/>
      <w:u w:val="none"/>
    </w:rPr>
  </w:style>
  <w:style w:type="character" w:customStyle="1" w:styleId="99">
    <w:name w:val="正文文本 (6) + SimSun1"/>
    <w:basedOn w:val="86"/>
    <w:qFormat/>
    <w:uiPriority w:val="99"/>
    <w:rPr>
      <w:rFonts w:ascii="宋体" w:hAnsi="宋体" w:eastAsia="MingLiU" w:cs="宋体"/>
      <w:spacing w:val="-10"/>
      <w:sz w:val="22"/>
      <w:szCs w:val="22"/>
      <w:u w:val="none"/>
      <w:lang w:val="en-US" w:eastAsia="en-US"/>
    </w:rPr>
  </w:style>
  <w:style w:type="character" w:customStyle="1" w:styleId="100">
    <w:name w:val="正文文本 (7) + Palatino Linotype1"/>
    <w:basedOn w:val="92"/>
    <w:qFormat/>
    <w:uiPriority w:val="99"/>
    <w:rPr>
      <w:rFonts w:ascii="Palatino Linotype" w:hAnsi="Palatino Linotype" w:eastAsia="MingLiU" w:cs="Palatino Linotype"/>
      <w:spacing w:val="10"/>
      <w:sz w:val="15"/>
      <w:szCs w:val="15"/>
      <w:u w:val="none"/>
      <w:lang w:val="en-US" w:eastAsia="en-US"/>
    </w:rPr>
  </w:style>
  <w:style w:type="character" w:customStyle="1" w:styleId="101">
    <w:name w:val="正文文本 (8) + MingLiU1"/>
    <w:basedOn w:val="96"/>
    <w:qFormat/>
    <w:uiPriority w:val="99"/>
    <w:rPr>
      <w:rFonts w:ascii="MingLiU" w:hAnsi="Palatino Linotype" w:eastAsia="MingLiU" w:cs="MingLiU"/>
      <w:spacing w:val="20"/>
      <w:sz w:val="15"/>
      <w:szCs w:val="15"/>
      <w:u w:val="none"/>
      <w:lang w:val="en-US" w:eastAsia="en-US"/>
    </w:rPr>
  </w:style>
  <w:style w:type="character" w:customStyle="1" w:styleId="102">
    <w:name w:val="页眉 字符"/>
    <w:basedOn w:val="20"/>
    <w:link w:val="14"/>
    <w:semiHidden/>
    <w:qFormat/>
    <w:locked/>
    <w:uiPriority w:val="99"/>
    <w:rPr>
      <w:color w:val="000000"/>
      <w:kern w:val="0"/>
      <w:sz w:val="18"/>
      <w:szCs w:val="18"/>
      <w:lang w:val="zh-TW" w:eastAsia="zh-TW"/>
    </w:rPr>
  </w:style>
  <w:style w:type="character" w:customStyle="1" w:styleId="103">
    <w:name w:val="页脚 字符"/>
    <w:basedOn w:val="20"/>
    <w:link w:val="13"/>
    <w:qFormat/>
    <w:locked/>
    <w:uiPriority w:val="99"/>
    <w:rPr>
      <w:color w:val="000000"/>
      <w:kern w:val="0"/>
      <w:sz w:val="18"/>
      <w:szCs w:val="18"/>
      <w:lang w:val="zh-TW" w:eastAsia="zh-TW"/>
    </w:rPr>
  </w:style>
  <w:style w:type="character" w:customStyle="1" w:styleId="104">
    <w:name w:val="批注文字 字符"/>
    <w:basedOn w:val="20"/>
    <w:link w:val="6"/>
    <w:semiHidden/>
    <w:qFormat/>
    <w:locked/>
    <w:uiPriority w:val="99"/>
    <w:rPr>
      <w:color w:val="000000"/>
      <w:kern w:val="0"/>
      <w:sz w:val="24"/>
      <w:szCs w:val="24"/>
      <w:lang w:val="zh-TW" w:eastAsia="zh-TW"/>
    </w:rPr>
  </w:style>
  <w:style w:type="character" w:customStyle="1" w:styleId="105">
    <w:name w:val="批注主题 字符"/>
    <w:basedOn w:val="104"/>
    <w:link w:val="5"/>
    <w:semiHidden/>
    <w:qFormat/>
    <w:locked/>
    <w:uiPriority w:val="99"/>
    <w:rPr>
      <w:b/>
      <w:bCs/>
      <w:color w:val="000000"/>
      <w:kern w:val="0"/>
      <w:sz w:val="24"/>
      <w:szCs w:val="24"/>
      <w:lang w:val="zh-TW" w:eastAsia="zh-TW"/>
    </w:rPr>
  </w:style>
  <w:style w:type="character" w:customStyle="1" w:styleId="106">
    <w:name w:val="批注框文本 字符"/>
    <w:basedOn w:val="20"/>
    <w:link w:val="12"/>
    <w:semiHidden/>
    <w:qFormat/>
    <w:locked/>
    <w:uiPriority w:val="99"/>
    <w:rPr>
      <w:color w:val="000000"/>
      <w:kern w:val="0"/>
      <w:sz w:val="18"/>
      <w:szCs w:val="18"/>
      <w:lang w:val="zh-TW" w:eastAsia="zh-TW"/>
    </w:rPr>
  </w:style>
  <w:style w:type="paragraph" w:customStyle="1" w:styleId="107">
    <w:name w:val="无间隔1"/>
    <w:qFormat/>
    <w:uiPriority w:val="0"/>
    <w:pPr>
      <w:widowControl w:val="0"/>
    </w:pPr>
    <w:rPr>
      <w:rFonts w:ascii="Courier New" w:hAnsi="Courier New" w:eastAsia="Courier New" w:cs="Courier New"/>
      <w:color w:val="000000"/>
      <w:kern w:val="0"/>
      <w:sz w:val="24"/>
      <w:szCs w:val="24"/>
      <w:lang w:val="zh-TW" w:eastAsia="zh-CN" w:bidi="ar-SA"/>
    </w:rPr>
  </w:style>
  <w:style w:type="character" w:customStyle="1" w:styleId="108">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D9263-A5E4-4BEE-8C15-69FA33A9EA07}">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15</Pages>
  <Words>1455</Words>
  <Characters>8299</Characters>
  <Lines>69</Lines>
  <Paragraphs>19</Paragraphs>
  <TotalTime>1</TotalTime>
  <ScaleCrop>false</ScaleCrop>
  <LinksUpToDate>false</LinksUpToDate>
  <CharactersWithSpaces>9735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2019-02-01T03:41:00Z</dcterms:created>
  <dc:creator>王昆2001-8-15 14:19:15</dc:creator>
  <cp:lastModifiedBy>zhaom</cp:lastModifiedBy>
  <cp:lastPrinted>2021-07-05T06:41:25Z</cp:lastPrinted>
  <dcterms:modified xsi:type="dcterms:W3CDTF">2021-07-05T06:42:38Z</dcterms:modified>
  <dc:title>根据我局与越南科技与环境部签署的谅解备忘录，自2002年10月1日起，中国出口越南的摩托车、摩托车发动机和头盔应经过强制性产品认证并加贴“CCC”认证标志</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