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45C30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  <w:bookmarkStart w:id="0" w:name="_GoBack"/>
      <w:bookmarkEnd w:id="0"/>
      <w:r>
        <w:rPr>
          <w:rFonts w:ascii="黑体" w:eastAsia="黑体" w:hAnsi="黑体" w:cs="方正粗黑宋简体" w:hint="eastAsia"/>
          <w:color w:val="000000"/>
          <w:szCs w:val="32"/>
        </w:rPr>
        <w:t>附件</w:t>
      </w:r>
      <w:r>
        <w:rPr>
          <w:rFonts w:ascii="黑体" w:eastAsia="黑体" w:hAnsi="黑体" w:cs="方正粗黑宋简体" w:hint="eastAsia"/>
          <w:color w:val="000000"/>
          <w:szCs w:val="32"/>
        </w:rPr>
        <w:t>2</w:t>
      </w:r>
    </w:p>
    <w:p w:rsidR="00000000" w:rsidRDefault="00A45C30">
      <w:pPr>
        <w:pStyle w:val="ae"/>
        <w:overflowPunct w:val="0"/>
        <w:spacing w:after="0" w:line="580" w:lineRule="exact"/>
        <w:ind w:firstLine="320"/>
        <w:rPr>
          <w:rFonts w:hint="eastAsia"/>
        </w:rPr>
      </w:pPr>
    </w:p>
    <w:p w:rsidR="00000000" w:rsidRDefault="00A45C30">
      <w:pPr>
        <w:overflowPunct w:val="0"/>
        <w:adjustRightInd w:val="0"/>
        <w:jc w:val="center"/>
        <w:outlineLvl w:val="0"/>
        <w:rPr>
          <w:rFonts w:ascii="方正小标宋_GBK" w:eastAsia="方正小标宋_GBK" w:hAnsi="方正粗黑宋简体" w:cs="方正粗黑宋简体" w:hint="eastAsia"/>
          <w:color w:val="000000"/>
          <w:sz w:val="44"/>
          <w:szCs w:val="44"/>
        </w:rPr>
      </w:pPr>
      <w:r>
        <w:rPr>
          <w:rFonts w:ascii="方正小标宋_GBK" w:eastAsia="方正小标宋_GBK" w:hAnsi="方正粗黑宋简体" w:cs="方正粗黑宋简体" w:hint="eastAsia"/>
          <w:color w:val="000000"/>
          <w:sz w:val="44"/>
          <w:szCs w:val="44"/>
        </w:rPr>
        <w:t>粮食品</w:t>
      </w:r>
      <w:r>
        <w:rPr>
          <w:rFonts w:ascii="方正小标宋_GBK" w:eastAsia="方正小标宋_GBK" w:hAnsi="宋体" w:cs="宋体" w:hint="eastAsia"/>
          <w:color w:val="000000"/>
          <w:sz w:val="44"/>
          <w:szCs w:val="44"/>
        </w:rPr>
        <w:t>种</w:t>
      </w:r>
      <w:r>
        <w:rPr>
          <w:rFonts w:ascii="方正小标宋_GBK" w:eastAsia="方正小标宋_GBK" w:hAnsi="MS Mincho" w:cs="MS Mincho" w:hint="eastAsia"/>
          <w:color w:val="000000"/>
          <w:sz w:val="44"/>
          <w:szCs w:val="44"/>
        </w:rPr>
        <w:t>品</w:t>
      </w:r>
      <w:r>
        <w:rPr>
          <w:rFonts w:ascii="方正小标宋_GBK" w:eastAsia="方正小标宋_GBK" w:hAnsi="宋体" w:cs="宋体" w:hint="eastAsia"/>
          <w:color w:val="000000"/>
          <w:sz w:val="44"/>
          <w:szCs w:val="44"/>
        </w:rPr>
        <w:t>质</w:t>
      </w:r>
      <w:r>
        <w:rPr>
          <w:rFonts w:ascii="方正小标宋_GBK" w:eastAsia="方正小标宋_GBK" w:hAnsi="MS Mincho" w:cs="MS Mincho" w:hint="eastAsia"/>
          <w:color w:val="000000"/>
          <w:sz w:val="44"/>
          <w:szCs w:val="44"/>
        </w:rPr>
        <w:t>品牌提升行</w:t>
      </w:r>
      <w:r>
        <w:rPr>
          <w:rFonts w:ascii="方正小标宋_GBK" w:eastAsia="方正小标宋_GBK" w:hAnsi="宋体" w:cs="宋体" w:hint="eastAsia"/>
          <w:color w:val="000000"/>
          <w:sz w:val="44"/>
          <w:szCs w:val="44"/>
        </w:rPr>
        <w:t>动</w:t>
      </w:r>
      <w:r>
        <w:rPr>
          <w:rFonts w:ascii="方正小标宋_GBK" w:eastAsia="方正小标宋_GBK" w:hAnsi="方正粗黑宋简体" w:cs="方正粗黑宋简体" w:hint="eastAsia"/>
          <w:color w:val="000000"/>
          <w:sz w:val="44"/>
          <w:szCs w:val="44"/>
        </w:rPr>
        <w:t>方案</w:t>
      </w:r>
    </w:p>
    <w:p w:rsidR="00000000" w:rsidRDefault="00A45C30">
      <w:pPr>
        <w:overflowPunct w:val="0"/>
        <w:adjustRightInd w:val="0"/>
        <w:jc w:val="center"/>
        <w:rPr>
          <w:rFonts w:ascii="方正小标宋_GBK" w:eastAsia="方正小标宋_GBK" w:hAnsi="方正粗黑宋简体" w:cs="方正粗黑宋简体" w:hint="eastAsia"/>
          <w:color w:val="000000"/>
          <w:sz w:val="44"/>
          <w:szCs w:val="44"/>
        </w:rPr>
      </w:pPr>
      <w:r>
        <w:rPr>
          <w:rFonts w:ascii="方正小标宋_GBK" w:eastAsia="方正小标宋_GBK" w:hAnsi="方正粗黑宋简体" w:cs="方正粗黑宋简体" w:hint="eastAsia"/>
          <w:color w:val="000000"/>
          <w:sz w:val="44"/>
          <w:szCs w:val="44"/>
        </w:rPr>
        <w:t>（</w:t>
      </w:r>
      <w:r>
        <w:rPr>
          <w:rFonts w:ascii="方正小标宋_GBK" w:eastAsia="方正小标宋_GBK" w:hAnsi="方正粗黑宋简体" w:cs="方正粗黑宋简体" w:hint="eastAsia"/>
          <w:color w:val="000000"/>
          <w:sz w:val="44"/>
          <w:szCs w:val="44"/>
        </w:rPr>
        <w:t>试行</w:t>
      </w:r>
      <w:r>
        <w:rPr>
          <w:rFonts w:ascii="方正小标宋_GBK" w:eastAsia="方正小标宋_GBK" w:hAnsi="方正粗黑宋简体" w:cs="方正粗黑宋简体" w:hint="eastAsia"/>
          <w:color w:val="000000"/>
          <w:sz w:val="44"/>
          <w:szCs w:val="44"/>
        </w:rPr>
        <w:t>）</w:t>
      </w:r>
    </w:p>
    <w:p w:rsidR="00000000" w:rsidRDefault="00A45C30">
      <w:pPr>
        <w:overflowPunct w:val="0"/>
        <w:adjustRightInd w:val="0"/>
        <w:ind w:firstLineChars="200" w:firstLine="720"/>
        <w:rPr>
          <w:rFonts w:ascii="仿宋_GB2312" w:hAnsi="仿宋" w:cs="仿宋"/>
          <w:bCs/>
          <w:color w:val="000000"/>
          <w:sz w:val="36"/>
          <w:szCs w:val="36"/>
        </w:rPr>
      </w:pPr>
    </w:p>
    <w:p w:rsidR="00000000" w:rsidRDefault="00A45C30">
      <w:pPr>
        <w:overflowPunct w:val="0"/>
        <w:adjustRightInd w:val="0"/>
        <w:ind w:firstLineChars="200" w:firstLine="660"/>
        <w:rPr>
          <w:rFonts w:ascii="仿宋_GB2312" w:hAnsi="仿宋" w:cs="仿宋"/>
          <w:bCs/>
          <w:color w:val="000000"/>
          <w:spacing w:val="5"/>
          <w:szCs w:val="32"/>
        </w:rPr>
      </w:pPr>
      <w:r>
        <w:rPr>
          <w:rFonts w:ascii="仿宋_GB2312" w:hAnsi="仿宋" w:cs="仿宋" w:hint="eastAsia"/>
          <w:bCs/>
          <w:color w:val="000000"/>
          <w:spacing w:val="5"/>
          <w:szCs w:val="32"/>
        </w:rPr>
        <w:t>为</w:t>
      </w:r>
      <w:r>
        <w:rPr>
          <w:rFonts w:ascii="仿宋_GB2312" w:hAnsi="仿宋_GB2312" w:cs="仿宋_GB2312" w:hint="eastAsia"/>
          <w:spacing w:val="5"/>
          <w:szCs w:val="32"/>
        </w:rPr>
        <w:t>深入贯彻习近平总书记关于深入推进优质粮食工程、做好粮食市场和流通文章的重要指示精神，认真落实党中央、国务院有关决策部署，抓好财政部、国家粮食和物资储备局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《关于深入推进优质粮食工程的意见》（财建〔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2021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〕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177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号，以下简称《意见》）落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地见效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，现制定粮食品种品质品牌提升行动方案。</w:t>
      </w:r>
    </w:p>
    <w:p w:rsidR="00000000" w:rsidRDefault="00A45C30">
      <w:pPr>
        <w:overflowPunct w:val="0"/>
        <w:adjustRightInd w:val="0"/>
        <w:ind w:firstLineChars="200" w:firstLine="660"/>
        <w:rPr>
          <w:rFonts w:ascii="黑体" w:eastAsia="黑体" w:hAnsi="黑体" w:cs="黑体"/>
          <w:bCs/>
          <w:color w:val="000000"/>
          <w:spacing w:val="5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5"/>
          <w:szCs w:val="32"/>
        </w:rPr>
        <w:t>一、总体要求</w:t>
      </w:r>
    </w:p>
    <w:p w:rsidR="00000000" w:rsidRDefault="00A45C30">
      <w:pPr>
        <w:overflowPunct w:val="0"/>
        <w:adjustRightInd w:val="0"/>
        <w:ind w:firstLineChars="200" w:firstLine="660"/>
        <w:rPr>
          <w:rFonts w:ascii="仿宋_GB2312" w:hAnsi="仿宋" w:cs="仿宋"/>
          <w:bCs/>
          <w:color w:val="000000"/>
          <w:spacing w:val="5"/>
          <w:szCs w:val="32"/>
        </w:rPr>
      </w:pPr>
      <w:r>
        <w:rPr>
          <w:rFonts w:ascii="仿宋_GB2312" w:hAnsi="仿宋" w:cs="仿宋" w:hint="eastAsia"/>
          <w:bCs/>
          <w:color w:val="000000"/>
          <w:spacing w:val="5"/>
          <w:szCs w:val="32"/>
        </w:rPr>
        <w:t>以习近平新时代中国特色社会主义思想为指导，立足新发展阶段，贯彻新发展理念，构建新发展格局，推动高质量发展，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深入落实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国家粮食安全战略、乡村振兴战略和健康中国战略，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持续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开展“中国好粮油”行动，聚焦</w:t>
      </w:r>
      <w:r>
        <w:rPr>
          <w:rFonts w:ascii="仿宋_GB2312" w:hAnsi="仿宋" w:cs="仿宋"/>
          <w:bCs/>
          <w:color w:val="000000"/>
          <w:spacing w:val="5"/>
          <w:szCs w:val="32"/>
        </w:rPr>
        <w:t>增加绿色优质粮油产品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供给</w:t>
      </w:r>
      <w:r>
        <w:rPr>
          <w:rFonts w:ascii="仿宋_GB2312" w:hAnsi="仿宋" w:cs="仿宋"/>
          <w:bCs/>
          <w:color w:val="000000"/>
          <w:spacing w:val="5"/>
          <w:szCs w:val="32"/>
        </w:rPr>
        <w:t>，着力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优化粮食供给结构，促进粮油</w:t>
      </w:r>
      <w:r>
        <w:rPr>
          <w:rFonts w:ascii="仿宋_GB2312" w:hAnsi="仿宋" w:cs="仿宋"/>
          <w:bCs/>
          <w:color w:val="000000"/>
          <w:spacing w:val="5"/>
          <w:szCs w:val="32"/>
        </w:rPr>
        <w:t>品质提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升，打造优质粮食</w:t>
      </w:r>
      <w:r>
        <w:rPr>
          <w:rFonts w:ascii="仿宋_GB2312" w:hAnsi="仿宋" w:cs="仿宋"/>
          <w:bCs/>
          <w:color w:val="000000"/>
          <w:spacing w:val="5"/>
          <w:szCs w:val="32"/>
        </w:rPr>
        <w:t>品牌，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搞活</w:t>
      </w:r>
      <w:r>
        <w:rPr>
          <w:rFonts w:ascii="仿宋_GB2312" w:hAnsi="仿宋" w:cs="仿宋"/>
          <w:bCs/>
          <w:color w:val="000000"/>
          <w:spacing w:val="5"/>
          <w:szCs w:val="32"/>
        </w:rPr>
        <w:t>粮食市场和流通，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加快粮食产业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创新发展、转型升级、提质增效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hAnsi="仿宋_GB2312" w:cs="仿宋_GB2312" w:hint="eastAsia"/>
          <w:color w:val="000000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（一）市场主导</w:t>
      </w: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、</w:t>
      </w: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政府引导。</w:t>
      </w:r>
      <w:r>
        <w:rPr>
          <w:rStyle w:val="NormalCharacter"/>
          <w:rFonts w:ascii="仿宋_GB2312" w:eastAsia="仿宋_GB2312" w:hAnsi="仿宋_GB2312" w:cs="仿宋_GB2312" w:hint="eastAsia"/>
          <w:spacing w:val="5"/>
          <w:szCs w:val="32"/>
        </w:rPr>
        <w:t>充分发挥市场在资源配置中的决定性作用，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增强市场主体活力，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促进资源要素向品种选优、品质提升、品牌打造集聚；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更好</w:t>
      </w:r>
      <w:r>
        <w:rPr>
          <w:rFonts w:ascii="仿宋_GB2312" w:hAnsi="仿宋_GB2312" w:cs="仿宋_GB2312"/>
          <w:color w:val="000000"/>
          <w:spacing w:val="5"/>
          <w:szCs w:val="32"/>
        </w:rPr>
        <w:t>发挥政府政策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扶持和引导</w:t>
      </w:r>
      <w:r>
        <w:rPr>
          <w:rFonts w:ascii="仿宋_GB2312" w:hAnsi="仿宋_GB2312" w:cs="仿宋_GB2312"/>
          <w:color w:val="000000"/>
          <w:spacing w:val="5"/>
          <w:szCs w:val="32"/>
        </w:rPr>
        <w:t>作用，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lastRenderedPageBreak/>
        <w:t>健全市场监督机制，营造公平竞争的市场环境。</w:t>
      </w:r>
    </w:p>
    <w:p w:rsidR="00000000" w:rsidRDefault="00A45C30">
      <w:pPr>
        <w:overflowPunct w:val="0"/>
        <w:ind w:firstLineChars="200" w:firstLine="661"/>
        <w:rPr>
          <w:rFonts w:ascii="楷体_GB2312" w:eastAsia="楷体_GB2312" w:hAnsi="楷体" w:cs="楷体"/>
          <w:b/>
          <w:color w:val="000000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（二）绿色</w:t>
      </w:r>
      <w:r>
        <w:rPr>
          <w:rFonts w:ascii="楷体_GB2312" w:eastAsia="楷体_GB2312" w:hAnsi="楷体" w:cs="楷体"/>
          <w:b/>
          <w:color w:val="000000"/>
          <w:spacing w:val="5"/>
          <w:szCs w:val="32"/>
        </w:rPr>
        <w:t>导向</w:t>
      </w: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、</w:t>
      </w: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标准引领。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坚持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资源节约、环境友好的绿色理念，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完善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优质粮油标准，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强化标准执行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，实施全过程质量监管，提高品质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、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提升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品牌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，更好满足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粮油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消费升级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需要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。</w:t>
      </w:r>
    </w:p>
    <w:p w:rsidR="00000000" w:rsidRDefault="00A45C30">
      <w:pPr>
        <w:overflowPunct w:val="0"/>
        <w:ind w:firstLineChars="200" w:firstLine="661"/>
        <w:rPr>
          <w:rFonts w:ascii="仿宋_GB2312" w:hAnsi="仿宋_GB2312" w:cs="仿宋_GB2312" w:hint="eastAsia"/>
          <w:color w:val="000000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（三）抓住关键</w:t>
      </w: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、</w:t>
      </w: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突出重点。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抓好“粮头食尾”和“农头工尾”，突出资源整合、特色挖掘、动态管理、信用监管，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加强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技术创新、标准制定、品质追溯和市场评价，提升粮油品牌市场竞争力，提高粮食产业质量效益。</w:t>
      </w:r>
    </w:p>
    <w:p w:rsidR="00000000" w:rsidRDefault="00A45C30">
      <w:pPr>
        <w:overflowPunct w:val="0"/>
        <w:ind w:firstLineChars="200" w:firstLine="660"/>
        <w:rPr>
          <w:rFonts w:ascii="仿宋_GB2312" w:hAnsi="仿宋_GB2312" w:cs="仿宋_GB2312" w:hint="eastAsia"/>
          <w:spacing w:val="5"/>
          <w:szCs w:val="32"/>
        </w:rPr>
      </w:pPr>
      <w:bookmarkStart w:id="1" w:name="_Hlk70238010"/>
      <w:r>
        <w:rPr>
          <w:rStyle w:val="NormalCharacter"/>
          <w:rFonts w:ascii="仿宋_GB2312" w:eastAsia="仿宋_GB2312" w:hAnsi="仿宋_GB2312" w:cs="仿宋_GB2312" w:hint="eastAsia"/>
          <w:spacing w:val="5"/>
          <w:szCs w:val="32"/>
        </w:rPr>
        <w:t>到</w:t>
      </w:r>
      <w:r>
        <w:rPr>
          <w:rStyle w:val="NormalCharacter"/>
          <w:rFonts w:ascii="仿宋_GB2312" w:eastAsia="仿宋_GB2312" w:hAnsi="仿宋_GB2312" w:cs="仿宋_GB2312" w:hint="eastAsia"/>
          <w:spacing w:val="5"/>
          <w:szCs w:val="32"/>
        </w:rPr>
        <w:t>2025</w:t>
      </w:r>
      <w:r>
        <w:rPr>
          <w:rStyle w:val="NormalCharacter"/>
          <w:rFonts w:ascii="仿宋_GB2312" w:eastAsia="仿宋_GB2312" w:hAnsi="仿宋_GB2312" w:cs="仿宋_GB2312" w:hint="eastAsia"/>
          <w:spacing w:val="5"/>
          <w:szCs w:val="32"/>
        </w:rPr>
        <w:t>年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Style w:val="NormalCharacter"/>
          <w:rFonts w:ascii="仿宋_GB2312" w:eastAsia="仿宋_GB2312" w:hAnsi="仿宋_GB2312" w:cs="仿宋_GB2312" w:hint="eastAsia"/>
          <w:spacing w:val="5"/>
          <w:szCs w:val="32"/>
        </w:rPr>
        <w:t>优质粮食供给更加丰富，粮食品质明显提升，粮食品牌体系更加完善，粮油品牌和营销市场竞争力持续提升</w:t>
      </w:r>
      <w:r>
        <w:rPr>
          <w:rStyle w:val="NormalCharacter"/>
          <w:rFonts w:ascii="仿宋_GB2312" w:hAnsi="仿宋_GB2312" w:cs="仿宋_GB2312" w:hint="eastAsia"/>
          <w:spacing w:val="5"/>
          <w:szCs w:val="32"/>
        </w:rPr>
        <w:t>。</w:t>
      </w:r>
      <w:r>
        <w:rPr>
          <w:rStyle w:val="NormalCharacter"/>
          <w:rFonts w:ascii="仿宋_GB2312" w:eastAsia="仿宋_GB2312" w:hAnsi="仿宋_GB2312" w:cs="仿宋_GB2312" w:hint="eastAsia"/>
          <w:spacing w:val="5"/>
          <w:szCs w:val="32"/>
        </w:rPr>
        <w:t>建立一批</w:t>
      </w:r>
      <w:r>
        <w:rPr>
          <w:rStyle w:val="NormalCharacter"/>
          <w:rFonts w:ascii="仿宋_GB2312" w:eastAsia="仿宋_GB2312" w:hAnsi="仿宋_GB2312" w:cs="仿宋_GB2312"/>
          <w:spacing w:val="5"/>
          <w:szCs w:val="32"/>
        </w:rPr>
        <w:t>优质粮</w:t>
      </w:r>
      <w:r>
        <w:rPr>
          <w:rStyle w:val="NormalCharacter"/>
          <w:rFonts w:ascii="仿宋_GB2312" w:eastAsia="仿宋_GB2312" w:hAnsi="仿宋_GB2312" w:cs="仿宋_GB2312" w:hint="eastAsia"/>
          <w:spacing w:val="5"/>
          <w:szCs w:val="32"/>
        </w:rPr>
        <w:t>源</w:t>
      </w:r>
      <w:r>
        <w:rPr>
          <w:rStyle w:val="NormalCharacter"/>
          <w:rFonts w:ascii="仿宋_GB2312" w:eastAsia="仿宋_GB2312" w:hAnsi="仿宋_GB2312" w:cs="仿宋_GB2312"/>
          <w:spacing w:val="5"/>
          <w:szCs w:val="32"/>
        </w:rPr>
        <w:t>基地</w:t>
      </w:r>
      <w:r>
        <w:rPr>
          <w:rStyle w:val="NormalCharacter"/>
          <w:rFonts w:ascii="仿宋_GB2312" w:eastAsia="仿宋_GB2312" w:hAnsi="仿宋_GB2312" w:cs="仿宋_GB2312" w:hint="eastAsia"/>
          <w:spacing w:val="5"/>
          <w:szCs w:val="32"/>
        </w:rPr>
        <w:t>，完善一批引领优质粮食的相关标准，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培育一批优质粮油品牌</w:t>
      </w:r>
      <w:bookmarkEnd w:id="1"/>
      <w:r>
        <w:rPr>
          <w:rFonts w:ascii="仿宋_GB2312" w:hAnsi="仿宋_GB2312" w:cs="仿宋_GB2312" w:hint="eastAsia"/>
          <w:color w:val="000000"/>
          <w:spacing w:val="5"/>
          <w:szCs w:val="32"/>
        </w:rPr>
        <w:t>，优质粮食增加量年均增长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10%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以上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充分融合“好粮油”销售示范点、粮食应急供应网点、军粮供应网点和主食厨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房等，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健全线上线下营销体系，加快由“吃得饱”向“吃得好”“吃得营养健康”转变。</w:t>
      </w:r>
    </w:p>
    <w:p w:rsidR="00000000" w:rsidRDefault="00A45C30">
      <w:pPr>
        <w:overflowPunct w:val="0"/>
        <w:adjustRightInd w:val="0"/>
        <w:ind w:firstLineChars="200" w:firstLine="660"/>
        <w:rPr>
          <w:rFonts w:ascii="黑体" w:eastAsia="黑体" w:hAnsi="黑体" w:cs="黑体"/>
          <w:bCs/>
          <w:color w:val="000000"/>
          <w:spacing w:val="5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5"/>
          <w:szCs w:val="32"/>
        </w:rPr>
        <w:t>二、重点</w:t>
      </w:r>
      <w:r>
        <w:rPr>
          <w:rFonts w:ascii="黑体" w:eastAsia="黑体" w:hAnsi="黑体" w:cs="黑体"/>
          <w:bCs/>
          <w:color w:val="000000"/>
          <w:spacing w:val="5"/>
          <w:szCs w:val="32"/>
        </w:rPr>
        <w:t>任务</w:t>
      </w:r>
    </w:p>
    <w:p w:rsidR="00000000" w:rsidRDefault="00A45C30">
      <w:pPr>
        <w:overflowPunct w:val="0"/>
        <w:adjustRightInd w:val="0"/>
        <w:ind w:firstLineChars="200" w:firstLine="661"/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（四）引导优质粮食种植</w:t>
      </w:r>
    </w:p>
    <w:p w:rsidR="00000000" w:rsidRDefault="00A45C30">
      <w:pPr>
        <w:overflowPunct w:val="0"/>
        <w:adjustRightInd w:val="0"/>
        <w:ind w:firstLineChars="200" w:firstLine="661"/>
        <w:rPr>
          <w:rFonts w:cs="仿宋_GB2312"/>
          <w:color w:val="000000"/>
          <w:spacing w:val="5"/>
          <w:szCs w:val="32"/>
        </w:rPr>
      </w:pPr>
      <w:r>
        <w:rPr>
          <w:rFonts w:ascii="仿宋_GB2312" w:hAnsi="仿宋_GB2312" w:cs="仿宋_GB2312" w:hint="eastAsia"/>
          <w:b/>
          <w:color w:val="000000"/>
          <w:spacing w:val="5"/>
          <w:szCs w:val="32"/>
        </w:rPr>
        <w:t>优化粮食</w:t>
      </w:r>
      <w:r>
        <w:rPr>
          <w:rFonts w:ascii="仿宋_GB2312" w:hAnsi="仿宋_GB2312" w:cs="仿宋_GB2312" w:hint="eastAsia"/>
          <w:b/>
          <w:color w:val="000000"/>
          <w:spacing w:val="5"/>
          <w:szCs w:val="32"/>
        </w:rPr>
        <w:t>品种</w:t>
      </w:r>
      <w:r>
        <w:rPr>
          <w:rFonts w:ascii="仿宋_GB2312" w:hAnsi="仿宋_GB2312" w:cs="仿宋_GB2312" w:hint="eastAsia"/>
          <w:b/>
          <w:color w:val="000000"/>
          <w:spacing w:val="5"/>
          <w:szCs w:val="32"/>
        </w:rPr>
        <w:t>结构。</w:t>
      </w:r>
      <w:r>
        <w:rPr>
          <w:rFonts w:cs="仿宋_GB2312" w:hint="eastAsia"/>
          <w:color w:val="000000"/>
          <w:spacing w:val="5"/>
          <w:szCs w:val="32"/>
        </w:rPr>
        <w:t>坚持因地制宜，</w:t>
      </w:r>
      <w:r>
        <w:rPr>
          <w:rFonts w:cs="仿宋_GB2312" w:hint="eastAsia"/>
          <w:color w:val="000000"/>
          <w:spacing w:val="5"/>
          <w:szCs w:val="32"/>
        </w:rPr>
        <w:t>引导优选优质</w:t>
      </w:r>
      <w:r>
        <w:rPr>
          <w:rFonts w:cs="仿宋_GB2312" w:hint="eastAsia"/>
          <w:color w:val="000000"/>
          <w:spacing w:val="5"/>
          <w:szCs w:val="32"/>
        </w:rPr>
        <w:t>品种和示范种植</w:t>
      </w:r>
      <w:r>
        <w:rPr>
          <w:rFonts w:cs="仿宋_GB2312" w:hint="eastAsia"/>
          <w:color w:val="000000"/>
          <w:spacing w:val="5"/>
          <w:szCs w:val="32"/>
        </w:rPr>
        <w:t>，</w:t>
      </w:r>
      <w:r>
        <w:rPr>
          <w:rFonts w:cs="仿宋_GB2312" w:hint="eastAsia"/>
          <w:color w:val="000000"/>
          <w:spacing w:val="5"/>
          <w:szCs w:val="32"/>
        </w:rPr>
        <w:t>支持推广优质品种</w:t>
      </w:r>
      <w:r>
        <w:rPr>
          <w:rFonts w:cs="仿宋_GB2312" w:hint="eastAsia"/>
          <w:color w:val="000000"/>
          <w:spacing w:val="5"/>
          <w:szCs w:val="32"/>
        </w:rPr>
        <w:t>集中连片种植，</w:t>
      </w:r>
      <w:r>
        <w:rPr>
          <w:rFonts w:cs="仿宋_GB2312" w:hint="eastAsia"/>
          <w:color w:val="000000"/>
          <w:spacing w:val="5"/>
          <w:szCs w:val="32"/>
        </w:rPr>
        <w:t>推行适度规模经营</w:t>
      </w:r>
      <w:r>
        <w:rPr>
          <w:rFonts w:cs="仿宋_GB2312" w:hint="eastAsia"/>
          <w:color w:val="000000"/>
          <w:spacing w:val="5"/>
          <w:szCs w:val="32"/>
        </w:rPr>
        <w:t>。</w:t>
      </w:r>
      <w:r>
        <w:rPr>
          <w:rFonts w:cs="仿宋_GB2312" w:hint="eastAsia"/>
          <w:color w:val="000000"/>
          <w:spacing w:val="5"/>
          <w:szCs w:val="32"/>
        </w:rPr>
        <w:t>结合国家粮食安全产业带建设，以市场需求为导向，调整优化粮食品种结构，促进优质品种和特色品种向优势产区集中，实现优质、高产、高效、生态、安全</w:t>
      </w:r>
      <w:r>
        <w:rPr>
          <w:rFonts w:cs="仿宋_GB2312" w:hint="eastAsia"/>
          <w:color w:val="000000"/>
          <w:spacing w:val="5"/>
          <w:szCs w:val="32"/>
        </w:rPr>
        <w:t>相统一</w:t>
      </w:r>
      <w:r>
        <w:rPr>
          <w:rFonts w:cs="仿宋_GB2312" w:hint="eastAsia"/>
          <w:color w:val="000000"/>
          <w:spacing w:val="5"/>
          <w:szCs w:val="32"/>
        </w:rPr>
        <w:t>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hAnsi="仿宋_GB2312" w:cs="仿宋_GB2312" w:hint="eastAsia"/>
          <w:b/>
          <w:color w:val="000000"/>
          <w:spacing w:val="5"/>
          <w:szCs w:val="32"/>
        </w:rPr>
      </w:pPr>
      <w:r>
        <w:rPr>
          <w:rFonts w:ascii="仿宋_GB2312" w:hAnsi="仿宋_GB2312" w:cs="仿宋_GB2312" w:hint="eastAsia"/>
          <w:b/>
          <w:color w:val="000000"/>
          <w:spacing w:val="5"/>
          <w:szCs w:val="32"/>
        </w:rPr>
        <w:lastRenderedPageBreak/>
        <w:t>推进粮食种植标准化。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充分发挥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粮食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产业龙头企业和种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粮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大户的带动作用，推广绿色生产技术，推动实行种植品种、肥水管理、病虫防控、技术指导、机械作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业标准化生产，实现良田、良种、良法、良机、良制配套，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加快转变粮食产业发展方式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，促进粮食产能稳定、品质提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升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、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农民增收、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效益增加，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增强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可持续发展能力。</w:t>
      </w:r>
    </w:p>
    <w:p w:rsidR="00000000" w:rsidRDefault="00A45C30">
      <w:pPr>
        <w:overflowPunct w:val="0"/>
        <w:adjustRightInd w:val="0"/>
        <w:ind w:firstLineChars="200" w:firstLine="661"/>
        <w:rPr>
          <w:rFonts w:cs="仿宋_GB2312"/>
          <w:color w:val="000000"/>
          <w:spacing w:val="5"/>
          <w:szCs w:val="32"/>
        </w:rPr>
      </w:pPr>
      <w:r>
        <w:rPr>
          <w:rFonts w:ascii="仿宋_GB2312" w:hAnsi="仿宋_GB2312" w:cs="仿宋_GB2312" w:hint="eastAsia"/>
          <w:b/>
          <w:color w:val="000000"/>
          <w:spacing w:val="5"/>
          <w:szCs w:val="32"/>
        </w:rPr>
        <w:t>建立合作联结机制。</w:t>
      </w:r>
      <w:r>
        <w:rPr>
          <w:rFonts w:cs="仿宋_GB2312" w:hint="eastAsia"/>
          <w:color w:val="000000"/>
          <w:spacing w:val="5"/>
          <w:szCs w:val="32"/>
        </w:rPr>
        <w:t>支持“好粮油”示范县建设优质粮源基地，</w:t>
      </w:r>
      <w:r>
        <w:rPr>
          <w:rFonts w:cs="仿宋_GB2312" w:hint="eastAsia"/>
          <w:spacing w:val="5"/>
          <w:szCs w:val="32"/>
        </w:rPr>
        <w:t>鼓励</w:t>
      </w:r>
      <w:r>
        <w:rPr>
          <w:rFonts w:cs="仿宋_GB2312" w:hint="eastAsia"/>
          <w:spacing w:val="5"/>
          <w:szCs w:val="32"/>
        </w:rPr>
        <w:t>由</w:t>
      </w:r>
      <w:r>
        <w:rPr>
          <w:rFonts w:cs="仿宋_GB2312" w:hint="eastAsia"/>
          <w:spacing w:val="5"/>
          <w:szCs w:val="32"/>
        </w:rPr>
        <w:t>一家企业牵头或多家</w:t>
      </w:r>
      <w:r>
        <w:rPr>
          <w:rFonts w:cs="仿宋_GB2312" w:hint="eastAsia"/>
          <w:spacing w:val="5"/>
          <w:szCs w:val="32"/>
        </w:rPr>
        <w:t>企业</w:t>
      </w:r>
      <w:r>
        <w:rPr>
          <w:rFonts w:cs="仿宋_GB2312" w:hint="eastAsia"/>
          <w:spacing w:val="5"/>
          <w:szCs w:val="32"/>
        </w:rPr>
        <w:t>共同发起，</w:t>
      </w:r>
      <w:r>
        <w:rPr>
          <w:rFonts w:cs="仿宋_GB2312" w:hint="eastAsia"/>
          <w:spacing w:val="5"/>
          <w:szCs w:val="32"/>
        </w:rPr>
        <w:t>组织</w:t>
      </w:r>
      <w:r>
        <w:rPr>
          <w:rFonts w:cs="仿宋_GB2312" w:hint="eastAsia"/>
          <w:spacing w:val="5"/>
          <w:szCs w:val="32"/>
        </w:rPr>
        <w:t>粮食产后服务中心、质检机构、加工企业、收储企业、粮机企业、基层供销社</w:t>
      </w:r>
      <w:r>
        <w:rPr>
          <w:rFonts w:cs="仿宋_GB2312"/>
          <w:spacing w:val="5"/>
          <w:szCs w:val="32"/>
        </w:rPr>
        <w:t>与科研院所、农民专业合作社、家庭农场、村集体组织等</w:t>
      </w:r>
      <w:r>
        <w:rPr>
          <w:rFonts w:cs="仿宋_GB2312" w:hint="eastAsia"/>
          <w:spacing w:val="5"/>
          <w:szCs w:val="32"/>
        </w:rPr>
        <w:t>多元主体</w:t>
      </w:r>
      <w:r>
        <w:rPr>
          <w:rFonts w:cs="仿宋_GB2312"/>
          <w:spacing w:val="5"/>
          <w:szCs w:val="32"/>
        </w:rPr>
        <w:t>共同</w:t>
      </w:r>
      <w:r>
        <w:rPr>
          <w:rFonts w:cs="仿宋_GB2312" w:hint="eastAsia"/>
          <w:spacing w:val="5"/>
          <w:szCs w:val="32"/>
        </w:rPr>
        <w:t>组建粮食产业化联合体</w:t>
      </w:r>
      <w:r>
        <w:rPr>
          <w:rFonts w:cs="仿宋_GB2312" w:hint="eastAsia"/>
          <w:spacing w:val="5"/>
          <w:szCs w:val="32"/>
        </w:rPr>
        <w:t>，</w:t>
      </w:r>
      <w:r>
        <w:rPr>
          <w:rFonts w:cs="仿宋_GB2312" w:hint="eastAsia"/>
          <w:spacing w:val="5"/>
          <w:szCs w:val="32"/>
        </w:rPr>
        <w:t>构建紧密的利益联结机制，根据市场需求实施</w:t>
      </w:r>
      <w:r>
        <w:rPr>
          <w:rFonts w:cs="仿宋_GB2312"/>
          <w:color w:val="000000"/>
          <w:spacing w:val="5"/>
          <w:szCs w:val="32"/>
        </w:rPr>
        <w:t>优质</w:t>
      </w:r>
      <w:r>
        <w:rPr>
          <w:rFonts w:cs="仿宋_GB2312" w:hint="eastAsia"/>
          <w:color w:val="000000"/>
          <w:spacing w:val="5"/>
          <w:szCs w:val="32"/>
        </w:rPr>
        <w:t>粮食</w:t>
      </w:r>
      <w:r>
        <w:rPr>
          <w:rFonts w:cs="仿宋_GB2312"/>
          <w:color w:val="000000"/>
          <w:spacing w:val="5"/>
          <w:szCs w:val="32"/>
        </w:rPr>
        <w:t>订单</w:t>
      </w:r>
      <w:r>
        <w:rPr>
          <w:rFonts w:cs="仿宋_GB2312" w:hint="eastAsia"/>
          <w:color w:val="000000"/>
          <w:spacing w:val="5"/>
          <w:szCs w:val="32"/>
        </w:rPr>
        <w:t>生产</w:t>
      </w:r>
      <w:r>
        <w:rPr>
          <w:rFonts w:cs="仿宋_GB2312" w:hint="eastAsia"/>
          <w:color w:val="000000"/>
          <w:spacing w:val="5"/>
          <w:szCs w:val="32"/>
        </w:rPr>
        <w:t>，</w:t>
      </w:r>
      <w:r>
        <w:rPr>
          <w:rFonts w:cs="仿宋_GB2312" w:hint="eastAsia"/>
          <w:spacing w:val="5"/>
          <w:szCs w:val="32"/>
        </w:rPr>
        <w:t>完善优粮优购市场化机制，向下游延伸推动全产业链一体化经营</w:t>
      </w:r>
      <w:r>
        <w:rPr>
          <w:rFonts w:cs="仿宋_GB2312" w:hint="eastAsia"/>
          <w:spacing w:val="5"/>
          <w:szCs w:val="32"/>
        </w:rPr>
        <w:t>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（五）提升粮油</w:t>
      </w: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产品</w:t>
      </w: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品质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hAnsi="仿宋_GB2312" w:cs="仿宋_GB2312" w:hint="eastAsia"/>
          <w:color w:val="000000"/>
          <w:spacing w:val="5"/>
          <w:szCs w:val="32"/>
        </w:rPr>
      </w:pPr>
      <w:r>
        <w:rPr>
          <w:rFonts w:ascii="仿宋_GB2312" w:hAnsi="楷体" w:cs="楷体" w:hint="eastAsia"/>
          <w:b/>
          <w:color w:val="000000"/>
          <w:spacing w:val="5"/>
          <w:szCs w:val="32"/>
        </w:rPr>
        <w:t>强化</w:t>
      </w:r>
      <w:r>
        <w:rPr>
          <w:rFonts w:ascii="仿宋_GB2312" w:hAnsi="楷体" w:cs="楷体"/>
          <w:b/>
          <w:color w:val="000000"/>
          <w:spacing w:val="5"/>
          <w:szCs w:val="32"/>
        </w:rPr>
        <w:t>标准引领。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分品种筛选粮油品质核心指标。鼓励因地制宜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制定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地方标准、团体标准和评价体系，完善粮食</w:t>
      </w:r>
      <w:r>
        <w:rPr>
          <w:rFonts w:ascii="仿宋_GB2312" w:hAnsi="仿宋_GB2312" w:cs="仿宋_GB2312"/>
          <w:color w:val="000000"/>
          <w:spacing w:val="5"/>
          <w:szCs w:val="32"/>
        </w:rPr>
        <w:t>质量标准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体系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持续开展企业标准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“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领跑者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”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活动，鼓励企业推行更高质量标准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加快优质粮油产品品质等方面标准的推广实施。</w:t>
      </w:r>
      <w:r>
        <w:rPr>
          <w:rFonts w:ascii="仿宋_GB2312" w:hAnsi="仿宋_GB2312" w:cs="仿宋_GB2312"/>
          <w:color w:val="000000"/>
          <w:spacing w:val="5"/>
          <w:szCs w:val="32"/>
        </w:rPr>
        <w:t>建立全国主要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粮食</w:t>
      </w:r>
      <w:r>
        <w:rPr>
          <w:rFonts w:ascii="仿宋_GB2312" w:hAnsi="仿宋_GB2312" w:cs="仿宋_GB2312"/>
          <w:color w:val="000000"/>
          <w:spacing w:val="5"/>
          <w:szCs w:val="32"/>
        </w:rPr>
        <w:t>品质和营养成分数据库，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健全品质评价方法标准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A45C30">
      <w:pPr>
        <w:overflowPunct w:val="0"/>
        <w:adjustRightInd w:val="0"/>
        <w:ind w:firstLineChars="200" w:firstLine="661"/>
        <w:rPr>
          <w:rFonts w:cs="仿宋_GB2312"/>
          <w:spacing w:val="5"/>
          <w:szCs w:val="32"/>
        </w:rPr>
      </w:pPr>
      <w:r>
        <w:rPr>
          <w:rFonts w:ascii="仿宋_GB2312" w:hAnsi="楷体" w:cs="楷体" w:hint="eastAsia"/>
          <w:b/>
          <w:color w:val="000000"/>
          <w:spacing w:val="5"/>
          <w:szCs w:val="32"/>
        </w:rPr>
        <w:t>推动全链条品质提升。</w:t>
      </w:r>
      <w:r>
        <w:rPr>
          <w:rFonts w:ascii="仿宋_GB2312" w:hAnsi="楷体" w:cs="楷体" w:hint="eastAsia"/>
          <w:bCs/>
          <w:color w:val="000000"/>
          <w:spacing w:val="5"/>
          <w:szCs w:val="32"/>
        </w:rPr>
        <w:t>支持各地立足自然禀赋，</w:t>
      </w:r>
      <w:r>
        <w:rPr>
          <w:rFonts w:ascii="仿宋_GB2312" w:hAnsi="楷体" w:cs="楷体" w:hint="eastAsia"/>
          <w:bCs/>
          <w:color w:val="000000"/>
          <w:spacing w:val="5"/>
          <w:szCs w:val="32"/>
        </w:rPr>
        <w:t>推动</w:t>
      </w:r>
      <w:r>
        <w:rPr>
          <w:rFonts w:ascii="仿宋_GB2312" w:hAnsi="楷体" w:cs="楷体" w:hint="eastAsia"/>
          <w:bCs/>
          <w:color w:val="000000"/>
          <w:spacing w:val="5"/>
          <w:szCs w:val="32"/>
        </w:rPr>
        <w:t>稻谷、小麦、玉米、青稞、杂粮等谷物和大豆、花生、油菜籽、葵花</w:t>
      </w:r>
      <w:r>
        <w:rPr>
          <w:rFonts w:ascii="仿宋_GB2312" w:hAnsi="楷体" w:cs="楷体" w:hint="eastAsia"/>
          <w:bCs/>
          <w:color w:val="000000"/>
          <w:spacing w:val="5"/>
          <w:szCs w:val="32"/>
        </w:rPr>
        <w:lastRenderedPageBreak/>
        <w:t>籽、亚麻籽等油料作物全链条多业态融合发展</w:t>
      </w:r>
      <w:r>
        <w:rPr>
          <w:rFonts w:ascii="仿宋_GB2312" w:hAnsi="楷体" w:cs="楷体" w:hint="eastAsia"/>
          <w:bCs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鼓励分品种分仓分等级储存，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实行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成品粮低温储存，提高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绿色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水平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  <w:r>
        <w:rPr>
          <w:rFonts w:ascii="仿宋_GB2312" w:hAnsi="楷体" w:cs="楷体" w:hint="eastAsia"/>
          <w:bCs/>
          <w:color w:val="000000"/>
          <w:spacing w:val="5"/>
          <w:szCs w:val="32"/>
        </w:rPr>
        <w:t>引导优化加工能力布局，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倡导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稻谷、小麦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适度加工，减少资源浪费和营养流失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；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支持精深加工发展，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延长产品链条，提高粮食加工综合利用率，实现“吃干榨净、循环发展”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聚焦</w:t>
      </w:r>
      <w:r>
        <w:rPr>
          <w:rFonts w:cs="仿宋_GB2312" w:hint="eastAsia"/>
          <w:spacing w:val="5"/>
          <w:szCs w:val="32"/>
        </w:rPr>
        <w:t>解决产购储加销各环节品质提升的难点和</w:t>
      </w:r>
      <w:r>
        <w:rPr>
          <w:rFonts w:cs="仿宋_GB2312" w:hint="eastAsia"/>
          <w:spacing w:val="5"/>
          <w:szCs w:val="32"/>
        </w:rPr>
        <w:t>“</w:t>
      </w:r>
      <w:r>
        <w:rPr>
          <w:rFonts w:cs="仿宋_GB2312" w:hint="eastAsia"/>
          <w:spacing w:val="5"/>
          <w:szCs w:val="32"/>
        </w:rPr>
        <w:t>卡脖子</w:t>
      </w:r>
      <w:r>
        <w:rPr>
          <w:rFonts w:cs="仿宋_GB2312" w:hint="eastAsia"/>
          <w:spacing w:val="5"/>
          <w:szCs w:val="32"/>
        </w:rPr>
        <w:t>”</w:t>
      </w:r>
      <w:r>
        <w:rPr>
          <w:rFonts w:cs="仿宋_GB2312" w:hint="eastAsia"/>
          <w:spacing w:val="5"/>
          <w:szCs w:val="32"/>
        </w:rPr>
        <w:t>问题，推动</w:t>
      </w:r>
      <w:r>
        <w:rPr>
          <w:rFonts w:cs="仿宋_GB2312" w:hint="eastAsia"/>
          <w:spacing w:val="5"/>
          <w:szCs w:val="32"/>
        </w:rPr>
        <w:t>全链条</w:t>
      </w:r>
      <w:r>
        <w:rPr>
          <w:rFonts w:cs="仿宋_GB2312" w:hint="eastAsia"/>
          <w:spacing w:val="5"/>
          <w:szCs w:val="32"/>
        </w:rPr>
        <w:t>协同联动，加强全过程品质监测</w:t>
      </w:r>
      <w:r>
        <w:rPr>
          <w:rFonts w:cs="仿宋_GB2312" w:hint="eastAsia"/>
          <w:spacing w:val="5"/>
          <w:szCs w:val="32"/>
        </w:rPr>
        <w:t>，</w:t>
      </w:r>
      <w:r>
        <w:rPr>
          <w:rFonts w:cs="仿宋_GB2312" w:hint="eastAsia"/>
          <w:spacing w:val="5"/>
          <w:szCs w:val="32"/>
        </w:rPr>
        <w:t>实现标准化、精细化管理。</w:t>
      </w:r>
      <w:r>
        <w:rPr>
          <w:rFonts w:cs="仿宋_GB2312" w:hint="eastAsia"/>
          <w:spacing w:val="5"/>
          <w:szCs w:val="32"/>
        </w:rPr>
        <w:t>监督</w:t>
      </w:r>
      <w:r>
        <w:rPr>
          <w:rFonts w:cs="仿宋_GB2312" w:hint="eastAsia"/>
          <w:spacing w:val="5"/>
          <w:szCs w:val="32"/>
        </w:rPr>
        <w:t>指导</w:t>
      </w:r>
      <w:r>
        <w:rPr>
          <w:rFonts w:cs="仿宋_GB2312"/>
          <w:spacing w:val="5"/>
          <w:szCs w:val="32"/>
        </w:rPr>
        <w:t>粮食生产经营</w:t>
      </w:r>
      <w:r>
        <w:rPr>
          <w:rFonts w:cs="仿宋_GB2312" w:hint="eastAsia"/>
          <w:spacing w:val="5"/>
          <w:szCs w:val="32"/>
        </w:rPr>
        <w:t>者</w:t>
      </w:r>
      <w:r>
        <w:rPr>
          <w:rFonts w:cs="仿宋_GB2312"/>
          <w:spacing w:val="5"/>
          <w:szCs w:val="32"/>
        </w:rPr>
        <w:t>落实主体责任，逐步</w:t>
      </w:r>
      <w:r>
        <w:rPr>
          <w:rFonts w:cs="仿宋_GB2312" w:hint="eastAsia"/>
          <w:spacing w:val="5"/>
          <w:szCs w:val="32"/>
        </w:rPr>
        <w:t>建立</w:t>
      </w:r>
      <w:r>
        <w:rPr>
          <w:rFonts w:cs="仿宋_GB2312" w:hint="eastAsia"/>
          <w:spacing w:val="5"/>
          <w:szCs w:val="32"/>
        </w:rPr>
        <w:t>粮食</w:t>
      </w:r>
      <w:r>
        <w:rPr>
          <w:rFonts w:cs="仿宋_GB2312" w:hint="eastAsia"/>
          <w:spacing w:val="5"/>
          <w:szCs w:val="32"/>
        </w:rPr>
        <w:t>品质追溯体系。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楷体_GB2312" w:eastAsia="楷体_GB2312" w:hAnsi="楷体" w:cs="楷体"/>
          <w:b/>
          <w:color w:val="000000"/>
          <w:spacing w:val="5"/>
          <w:szCs w:val="32"/>
        </w:rPr>
      </w:pPr>
      <w:r>
        <w:rPr>
          <w:rFonts w:cs="仿宋_GB2312" w:hint="eastAsia"/>
          <w:b/>
          <w:spacing w:val="5"/>
          <w:szCs w:val="32"/>
        </w:rPr>
        <w:t>丰富</w:t>
      </w:r>
      <w:r>
        <w:rPr>
          <w:rFonts w:cs="仿宋_GB2312"/>
          <w:b/>
          <w:spacing w:val="5"/>
          <w:szCs w:val="32"/>
        </w:rPr>
        <w:t>优质产品供给</w:t>
      </w:r>
      <w:r>
        <w:rPr>
          <w:rFonts w:cs="仿宋_GB2312" w:hint="eastAsia"/>
          <w:b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大力发展全谷物等新型营养健康食品，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开发优质粮油新产品，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增加多元化、定制化、个性化产品供给。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推进主食制品工业化、社会化供应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积极发展方便米饭、米粉（米线）、米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粥等米制主食品，大力发展馒头、面条（挂面、鲜湿面条）、饺子等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各类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面制主食品，开发多种规格和风味的杂粮主食制品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和功能性食品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提高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传统米面和杂粮主食的即食性，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保证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产品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质量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（六）打造优质粮食品牌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hAnsi="楷体" w:cs="楷体"/>
          <w:color w:val="000000"/>
          <w:spacing w:val="5"/>
          <w:szCs w:val="32"/>
        </w:rPr>
      </w:pPr>
      <w:r>
        <w:rPr>
          <w:rFonts w:ascii="仿宋_GB2312" w:hAnsi="楷体" w:cs="楷体" w:hint="eastAsia"/>
          <w:b/>
          <w:color w:val="000000"/>
          <w:spacing w:val="5"/>
          <w:szCs w:val="32"/>
        </w:rPr>
        <w:t>培育“中国好粮油”品牌。</w:t>
      </w:r>
      <w:r>
        <w:rPr>
          <w:rFonts w:ascii="仿宋_GB2312" w:hAnsi="楷体" w:cs="楷体" w:hint="eastAsia"/>
          <w:color w:val="000000"/>
          <w:spacing w:val="5"/>
          <w:szCs w:val="32"/>
        </w:rPr>
        <w:t>完善指标体系和</w:t>
      </w:r>
      <w:r>
        <w:rPr>
          <w:rFonts w:ascii="仿宋_GB2312" w:hAnsi="楷体" w:cs="楷体" w:hint="eastAsia"/>
          <w:color w:val="000000"/>
          <w:spacing w:val="5"/>
          <w:szCs w:val="32"/>
        </w:rPr>
        <w:t>遴选</w:t>
      </w:r>
      <w:r>
        <w:rPr>
          <w:rFonts w:ascii="仿宋_GB2312" w:hAnsi="楷体" w:cs="楷体" w:hint="eastAsia"/>
          <w:color w:val="000000"/>
          <w:spacing w:val="5"/>
          <w:szCs w:val="32"/>
        </w:rPr>
        <w:t>程序，持续开展“中国好粮油”产品分级遴选</w:t>
      </w:r>
      <w:r>
        <w:rPr>
          <w:rFonts w:cs="永中宋体" w:hint="eastAsia"/>
          <w:spacing w:val="5"/>
          <w:szCs w:val="32"/>
        </w:rPr>
        <w:t>。</w:t>
      </w:r>
      <w:r>
        <w:rPr>
          <w:rFonts w:cs="永中宋体" w:hint="eastAsia"/>
          <w:spacing w:val="5"/>
          <w:szCs w:val="32"/>
        </w:rPr>
        <w:t>有序推进</w:t>
      </w:r>
      <w:r>
        <w:rPr>
          <w:rFonts w:cs="永中宋体" w:hint="eastAsia"/>
          <w:spacing w:val="5"/>
          <w:szCs w:val="32"/>
        </w:rPr>
        <w:t>“中国好粮油”产品图形证明商标许可使用，逐步推动产品遴选和证明商标合并运行，提高消费者认知度</w:t>
      </w:r>
      <w:bookmarkStart w:id="2" w:name="_Hlk81952015"/>
      <w:r>
        <w:rPr>
          <w:rFonts w:cs="永中宋体" w:hint="eastAsia"/>
          <w:spacing w:val="5"/>
          <w:szCs w:val="32"/>
        </w:rPr>
        <w:t>。推动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“中国好粮油”示范企业和销售示范点纳入粮食应急保障和军粮供应体系</w:t>
      </w:r>
      <w:bookmarkEnd w:id="2"/>
      <w:r>
        <w:rPr>
          <w:rFonts w:ascii="仿宋_GB2312" w:hAnsi="仿宋_GB2312" w:cs="仿宋_GB2312" w:hint="eastAsia"/>
          <w:color w:val="000000"/>
          <w:spacing w:val="5"/>
          <w:szCs w:val="32"/>
        </w:rPr>
        <w:t>，实现融合发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lastRenderedPageBreak/>
        <w:t>展，不断提升社会影响力</w:t>
      </w:r>
      <w:r>
        <w:rPr>
          <w:rFonts w:ascii="仿宋_GB2312" w:hAnsi="楷体" w:cs="楷体"/>
          <w:color w:val="000000"/>
          <w:spacing w:val="5"/>
          <w:szCs w:val="32"/>
        </w:rPr>
        <w:t>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hAnsi="楷体" w:cs="楷体" w:hint="eastAsia"/>
          <w:color w:val="000000"/>
          <w:spacing w:val="5"/>
          <w:szCs w:val="32"/>
        </w:rPr>
      </w:pPr>
      <w:r>
        <w:rPr>
          <w:rFonts w:ascii="仿宋_GB2312" w:hAnsi="楷体" w:cs="楷体" w:hint="eastAsia"/>
          <w:b/>
          <w:color w:val="000000"/>
          <w:spacing w:val="5"/>
          <w:szCs w:val="32"/>
        </w:rPr>
        <w:t>建设品牌体系。</w:t>
      </w:r>
      <w:r>
        <w:rPr>
          <w:rFonts w:ascii="仿宋_GB2312" w:hAnsi="楷体" w:cs="楷体" w:hint="eastAsia"/>
          <w:color w:val="000000"/>
          <w:spacing w:val="5"/>
          <w:szCs w:val="32"/>
        </w:rPr>
        <w:t>发挥</w:t>
      </w:r>
      <w:r>
        <w:rPr>
          <w:rFonts w:ascii="仿宋_GB2312" w:hAnsi="楷体" w:cs="楷体"/>
          <w:color w:val="000000"/>
          <w:spacing w:val="5"/>
          <w:szCs w:val="32"/>
        </w:rPr>
        <w:t>“</w:t>
      </w:r>
      <w:r>
        <w:rPr>
          <w:rFonts w:ascii="仿宋_GB2312" w:hAnsi="楷体" w:cs="楷体" w:hint="eastAsia"/>
          <w:color w:val="000000"/>
          <w:spacing w:val="5"/>
          <w:szCs w:val="32"/>
        </w:rPr>
        <w:t>中国</w:t>
      </w:r>
      <w:r>
        <w:rPr>
          <w:rFonts w:ascii="仿宋_GB2312" w:hAnsi="楷体" w:cs="楷体"/>
          <w:color w:val="000000"/>
          <w:spacing w:val="5"/>
          <w:szCs w:val="32"/>
        </w:rPr>
        <w:t>好</w:t>
      </w:r>
      <w:r>
        <w:rPr>
          <w:rFonts w:ascii="仿宋_GB2312" w:hAnsi="楷体" w:cs="楷体"/>
          <w:color w:val="000000"/>
          <w:spacing w:val="5"/>
          <w:szCs w:val="32"/>
        </w:rPr>
        <w:t>粮油</w:t>
      </w:r>
      <w:r>
        <w:rPr>
          <w:rFonts w:ascii="仿宋_GB2312" w:hAnsi="楷体" w:cs="楷体"/>
          <w:color w:val="000000"/>
          <w:spacing w:val="5"/>
          <w:szCs w:val="32"/>
        </w:rPr>
        <w:t>”</w:t>
      </w:r>
      <w:r>
        <w:rPr>
          <w:rFonts w:ascii="仿宋_GB2312" w:hAnsi="楷体" w:cs="楷体" w:hint="eastAsia"/>
          <w:color w:val="000000"/>
          <w:spacing w:val="5"/>
          <w:szCs w:val="32"/>
        </w:rPr>
        <w:t>带动</w:t>
      </w:r>
      <w:r>
        <w:rPr>
          <w:rFonts w:ascii="仿宋_GB2312" w:hAnsi="楷体" w:cs="楷体"/>
          <w:color w:val="000000"/>
          <w:spacing w:val="5"/>
          <w:szCs w:val="32"/>
        </w:rPr>
        <w:t>作用，</w:t>
      </w:r>
      <w:r>
        <w:rPr>
          <w:rFonts w:ascii="仿宋_GB2312" w:hAnsi="楷体" w:cs="楷体" w:hint="eastAsia"/>
          <w:color w:val="000000"/>
          <w:spacing w:val="5"/>
          <w:szCs w:val="32"/>
        </w:rPr>
        <w:t>推动构建“中国好粮油”—省级</w:t>
      </w:r>
      <w:r>
        <w:rPr>
          <w:rFonts w:ascii="仿宋_GB2312" w:hAnsi="楷体" w:cs="楷体" w:hint="eastAsia"/>
          <w:color w:val="000000"/>
          <w:spacing w:val="5"/>
          <w:szCs w:val="32"/>
        </w:rPr>
        <w:t>“</w:t>
      </w:r>
      <w:r>
        <w:rPr>
          <w:rFonts w:ascii="仿宋_GB2312" w:hAnsi="楷体" w:cs="楷体" w:hint="eastAsia"/>
          <w:color w:val="000000"/>
          <w:spacing w:val="5"/>
          <w:szCs w:val="32"/>
        </w:rPr>
        <w:t>好粮油</w:t>
      </w:r>
      <w:r>
        <w:rPr>
          <w:rFonts w:ascii="仿宋_GB2312" w:hAnsi="楷体" w:cs="楷体" w:hint="eastAsia"/>
          <w:color w:val="000000"/>
          <w:spacing w:val="5"/>
          <w:szCs w:val="32"/>
        </w:rPr>
        <w:t>”</w:t>
      </w:r>
      <w:r>
        <w:rPr>
          <w:rFonts w:ascii="仿宋_GB2312" w:hAnsi="楷体" w:cs="楷体" w:hint="eastAsia"/>
          <w:color w:val="000000"/>
          <w:spacing w:val="5"/>
          <w:szCs w:val="32"/>
        </w:rPr>
        <w:t>区域公用品牌—企业品牌—产品品牌四位一体的粮油品牌体系</w:t>
      </w:r>
      <w:r>
        <w:rPr>
          <w:rFonts w:ascii="仿宋_GB2312" w:hAnsi="楷体" w:cs="楷体" w:hint="eastAsia"/>
          <w:color w:val="000000"/>
          <w:spacing w:val="5"/>
          <w:szCs w:val="32"/>
        </w:rPr>
        <w:t>。</w:t>
      </w:r>
      <w:r>
        <w:rPr>
          <w:rFonts w:ascii="仿宋_GB2312" w:hAnsi="楷体" w:cs="楷体" w:hint="eastAsia"/>
          <w:color w:val="000000"/>
          <w:spacing w:val="5"/>
          <w:szCs w:val="32"/>
        </w:rPr>
        <w:t>以市场需求为导向，以标准化生产、科技化支撑、品牌化营销为手段，以当地优势产业为依托，结合自然地理资源禀赋，</w:t>
      </w:r>
      <w:r>
        <w:rPr>
          <w:rFonts w:ascii="仿宋_GB2312" w:hAnsi="楷体" w:cs="楷体" w:hint="eastAsia"/>
          <w:color w:val="000000"/>
          <w:spacing w:val="5"/>
          <w:szCs w:val="32"/>
        </w:rPr>
        <w:t>建设</w:t>
      </w:r>
      <w:r>
        <w:rPr>
          <w:rFonts w:ascii="仿宋_GB2312" w:hAnsi="楷体" w:cs="楷体" w:hint="eastAsia"/>
          <w:color w:val="000000"/>
          <w:spacing w:val="5"/>
          <w:szCs w:val="32"/>
        </w:rPr>
        <w:t>地方特色区域公共品牌。鼓励粮油生产加工优势企业提升科技研发和质量管控水平，深挖产品特性内涵，培育一批具有辨识度、知名度和美誉度的产品品牌</w:t>
      </w:r>
      <w:r>
        <w:rPr>
          <w:rFonts w:ascii="仿宋_GB2312" w:hAnsi="楷体" w:cs="楷体" w:hint="eastAsia"/>
          <w:color w:val="000000"/>
          <w:spacing w:val="5"/>
          <w:szCs w:val="32"/>
        </w:rPr>
        <w:t>和企业品牌</w:t>
      </w:r>
      <w:r>
        <w:rPr>
          <w:rFonts w:ascii="仿宋_GB2312" w:hAnsi="楷体" w:cs="楷体" w:hint="eastAsia"/>
          <w:color w:val="000000"/>
          <w:spacing w:val="5"/>
          <w:szCs w:val="32"/>
        </w:rPr>
        <w:t>，</w:t>
      </w:r>
      <w:r>
        <w:rPr>
          <w:rFonts w:ascii="仿宋_GB2312" w:hAnsi="楷体" w:cs="楷体" w:hint="eastAsia"/>
          <w:color w:val="000000"/>
          <w:spacing w:val="5"/>
          <w:szCs w:val="32"/>
        </w:rPr>
        <w:t>提升市场竞争力</w:t>
      </w:r>
      <w:r>
        <w:rPr>
          <w:rFonts w:ascii="仿宋_GB2312" w:hAnsi="楷体" w:cs="楷体" w:hint="eastAsia"/>
          <w:color w:val="000000"/>
          <w:spacing w:val="5"/>
          <w:szCs w:val="32"/>
        </w:rPr>
        <w:t>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cs="永中宋体"/>
          <w:spacing w:val="5"/>
          <w:szCs w:val="32"/>
        </w:rPr>
      </w:pPr>
      <w:r>
        <w:rPr>
          <w:rFonts w:ascii="仿宋_GB2312" w:hAnsi="楷体" w:cs="楷体" w:hint="eastAsia"/>
          <w:b/>
          <w:color w:val="000000"/>
          <w:spacing w:val="5"/>
          <w:szCs w:val="32"/>
        </w:rPr>
        <w:t>维护品牌</w:t>
      </w:r>
      <w:r>
        <w:rPr>
          <w:rFonts w:ascii="仿宋_GB2312" w:hAnsi="楷体" w:cs="楷体" w:hint="eastAsia"/>
          <w:b/>
          <w:color w:val="000000"/>
          <w:spacing w:val="5"/>
          <w:szCs w:val="32"/>
        </w:rPr>
        <w:t>信誉</w:t>
      </w:r>
      <w:r>
        <w:rPr>
          <w:rFonts w:ascii="仿宋_GB2312" w:hAnsi="楷体" w:cs="楷体" w:hint="eastAsia"/>
          <w:b/>
          <w:color w:val="000000"/>
          <w:spacing w:val="5"/>
          <w:szCs w:val="32"/>
        </w:rPr>
        <w:t>。</w:t>
      </w:r>
      <w:r>
        <w:rPr>
          <w:rFonts w:ascii="仿宋_GB2312" w:cs="永中宋体" w:hint="eastAsia"/>
          <w:spacing w:val="5"/>
          <w:szCs w:val="32"/>
        </w:rPr>
        <w:t>结合“中国好粮油”产品分级遴选，严把产品准入关，确保质量过硬。建立动态管理和退出机制，依托“中国好粮油”品牌提升</w:t>
      </w:r>
      <w:r>
        <w:rPr>
          <w:rFonts w:ascii="仿宋_GB2312" w:cs="永中宋体" w:hint="eastAsia"/>
          <w:spacing w:val="5"/>
          <w:szCs w:val="32"/>
        </w:rPr>
        <w:t>联合体和省级产业（企业）联盟、行业协会，共同维护产品</w:t>
      </w:r>
      <w:r>
        <w:rPr>
          <w:rFonts w:ascii="仿宋_GB2312" w:cs="永中宋体" w:hint="eastAsia"/>
          <w:spacing w:val="5"/>
          <w:szCs w:val="32"/>
        </w:rPr>
        <w:t>质量和</w:t>
      </w:r>
      <w:r>
        <w:rPr>
          <w:rFonts w:ascii="仿宋_GB2312" w:cs="永中宋体" w:hint="eastAsia"/>
          <w:spacing w:val="5"/>
          <w:szCs w:val="32"/>
        </w:rPr>
        <w:t>品牌信誉。积极开展地理标志、品质证明商标注册工作，规范标志使用规则</w:t>
      </w:r>
      <w:r>
        <w:rPr>
          <w:rFonts w:ascii="仿宋_GB2312" w:hAnsi="楷体" w:cs="楷体"/>
          <w:color w:val="000000"/>
          <w:spacing w:val="5"/>
          <w:szCs w:val="32"/>
        </w:rPr>
        <w:t>，</w:t>
      </w:r>
      <w:r>
        <w:rPr>
          <w:rFonts w:ascii="仿宋_GB2312" w:hAnsi="楷体" w:cs="楷体" w:hint="eastAsia"/>
          <w:color w:val="000000"/>
          <w:spacing w:val="5"/>
          <w:szCs w:val="32"/>
        </w:rPr>
        <w:t>维护</w:t>
      </w:r>
      <w:r>
        <w:rPr>
          <w:rFonts w:ascii="仿宋_GB2312" w:hAnsi="楷体" w:cs="楷体"/>
          <w:color w:val="000000"/>
          <w:spacing w:val="5"/>
          <w:szCs w:val="32"/>
        </w:rPr>
        <w:t>良好市场秩序</w:t>
      </w:r>
      <w:r>
        <w:rPr>
          <w:rFonts w:ascii="仿宋_GB2312" w:cs="永中宋体" w:hint="eastAsia"/>
          <w:spacing w:val="5"/>
          <w:szCs w:val="32"/>
        </w:rPr>
        <w:t>，</w:t>
      </w:r>
      <w:r>
        <w:rPr>
          <w:rFonts w:ascii="仿宋_GB2312" w:hAnsi="楷体" w:cs="楷体"/>
          <w:color w:val="000000"/>
          <w:spacing w:val="5"/>
          <w:szCs w:val="32"/>
        </w:rPr>
        <w:t>营造品牌建设良好环境</w:t>
      </w:r>
      <w:r>
        <w:rPr>
          <w:rFonts w:ascii="仿宋_GB2312" w:hAnsi="楷体" w:cs="楷体" w:hint="eastAsia"/>
          <w:color w:val="000000"/>
          <w:spacing w:val="5"/>
          <w:szCs w:val="32"/>
        </w:rPr>
        <w:t>。</w:t>
      </w:r>
      <w:r>
        <w:rPr>
          <w:rFonts w:ascii="仿宋_GB2312" w:cs="永中宋体" w:hint="eastAsia"/>
          <w:spacing w:val="5"/>
          <w:szCs w:val="32"/>
        </w:rPr>
        <w:t>加</w:t>
      </w:r>
      <w:r>
        <w:rPr>
          <w:rFonts w:ascii="仿宋_GB2312" w:hAnsi="楷体" w:cs="楷体" w:hint="eastAsia"/>
          <w:color w:val="000000"/>
          <w:spacing w:val="5"/>
          <w:szCs w:val="32"/>
        </w:rPr>
        <w:t>大</w:t>
      </w:r>
      <w:r>
        <w:rPr>
          <w:rFonts w:ascii="仿宋_GB2312" w:hAnsi="楷体" w:cs="楷体"/>
          <w:color w:val="000000"/>
          <w:spacing w:val="5"/>
          <w:szCs w:val="32"/>
        </w:rPr>
        <w:t>粮食</w:t>
      </w:r>
      <w:r>
        <w:rPr>
          <w:rFonts w:ascii="仿宋_GB2312" w:hAnsi="楷体" w:cs="楷体" w:hint="eastAsia"/>
          <w:color w:val="000000"/>
          <w:spacing w:val="5"/>
          <w:szCs w:val="32"/>
        </w:rPr>
        <w:t>品牌</w:t>
      </w:r>
      <w:r>
        <w:rPr>
          <w:rFonts w:ascii="仿宋_GB2312" w:hAnsi="楷体" w:cs="楷体"/>
          <w:color w:val="000000"/>
          <w:spacing w:val="5"/>
          <w:szCs w:val="32"/>
        </w:rPr>
        <w:t>知识</w:t>
      </w:r>
      <w:r>
        <w:rPr>
          <w:rFonts w:ascii="仿宋_GB2312" w:hAnsi="楷体" w:cs="楷体" w:hint="eastAsia"/>
          <w:color w:val="000000"/>
          <w:spacing w:val="5"/>
          <w:szCs w:val="32"/>
        </w:rPr>
        <w:t>产权</w:t>
      </w:r>
      <w:r>
        <w:rPr>
          <w:rFonts w:ascii="仿宋_GB2312" w:hAnsi="楷体" w:cs="楷体"/>
          <w:color w:val="000000"/>
          <w:spacing w:val="5"/>
          <w:szCs w:val="32"/>
        </w:rPr>
        <w:t>保护力度</w:t>
      </w:r>
      <w:r>
        <w:rPr>
          <w:rFonts w:ascii="仿宋_GB2312" w:hAnsi="楷体" w:cs="楷体" w:hint="eastAsia"/>
          <w:color w:val="000000"/>
          <w:spacing w:val="5"/>
          <w:szCs w:val="32"/>
        </w:rPr>
        <w:t>，提高维护行业品牌的意识和能力。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hAnsi="仿宋_GB2312" w:cs="仿宋_GB2312" w:hint="eastAsia"/>
          <w:color w:val="000000"/>
          <w:spacing w:val="5"/>
          <w:szCs w:val="32"/>
        </w:rPr>
      </w:pPr>
      <w:r>
        <w:rPr>
          <w:rFonts w:ascii="仿宋_GB2312" w:hAnsi="楷体" w:cs="楷体" w:hint="eastAsia"/>
          <w:b/>
          <w:color w:val="000000"/>
          <w:spacing w:val="5"/>
          <w:szCs w:val="32"/>
        </w:rPr>
        <w:t>加强品牌宣传。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各地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要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充分挖掘品牌历史文化内涵，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加大宣传力度，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构筑品牌宣传网络，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形成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“中国好粮油”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、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省级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“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好粮油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”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区域公用品牌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、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企业品牌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产品品牌四位一体宣传模式。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推动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品牌宣传与政策措施同频共振，讲好“中国好粮油”品牌故事，传播“中国好粮油”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行动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成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果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以品牌宣传带动提升粮食产业市场竞争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力。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lastRenderedPageBreak/>
        <w:t>（七）加强“好粮油”营销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hAnsi="楷体" w:cs="楷体"/>
          <w:b/>
          <w:color w:val="000000"/>
          <w:spacing w:val="5"/>
          <w:szCs w:val="32"/>
        </w:rPr>
      </w:pPr>
      <w:r>
        <w:rPr>
          <w:rFonts w:ascii="仿宋_GB2312" w:hAnsi="楷体" w:cs="楷体" w:hint="eastAsia"/>
          <w:b/>
          <w:color w:val="000000"/>
          <w:spacing w:val="5"/>
          <w:szCs w:val="32"/>
        </w:rPr>
        <w:t>开展营销</w:t>
      </w:r>
      <w:r>
        <w:rPr>
          <w:rFonts w:ascii="仿宋_GB2312" w:hAnsi="楷体" w:cs="楷体" w:hint="eastAsia"/>
          <w:b/>
          <w:color w:val="000000"/>
          <w:spacing w:val="5"/>
          <w:szCs w:val="32"/>
        </w:rPr>
        <w:t>推介</w:t>
      </w:r>
      <w:r>
        <w:rPr>
          <w:rFonts w:ascii="仿宋_GB2312" w:hAnsi="楷体" w:cs="楷体" w:hint="eastAsia"/>
          <w:b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持续办好中国粮食交易大会、区域性交易会和洽谈会，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用好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展会、论坛和博览会以及“中国品牌日”“世界粮食日”等平台，打造“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7.16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粮油品牌日”，开展大范围、高频度、多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渠道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推介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营销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促进产销深度融合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楷体_GB2312" w:eastAsia="楷体_GB2312" w:hAnsi="楷体" w:cs="楷体"/>
          <w:b/>
          <w:bCs/>
          <w:color w:val="000000"/>
          <w:spacing w:val="5"/>
          <w:szCs w:val="32"/>
        </w:rPr>
      </w:pPr>
      <w:r>
        <w:rPr>
          <w:rFonts w:ascii="仿宋_GB2312" w:hAnsi="楷体" w:cs="楷体" w:hint="eastAsia"/>
          <w:b/>
          <w:color w:val="000000"/>
          <w:spacing w:val="5"/>
          <w:szCs w:val="32"/>
        </w:rPr>
        <w:t>完善营销网络。</w:t>
      </w:r>
      <w:r>
        <w:rPr>
          <w:rFonts w:ascii="仿宋_GB2312" w:hAnsi="楷体" w:cs="楷体" w:hint="eastAsia"/>
          <w:color w:val="000000"/>
          <w:spacing w:val="5"/>
          <w:szCs w:val="32"/>
        </w:rPr>
        <w:t>推动</w:t>
      </w:r>
      <w:r>
        <w:rPr>
          <w:rFonts w:ascii="仿宋_GB2312" w:hAnsi="楷体" w:cs="楷体" w:hint="eastAsia"/>
          <w:color w:val="000000"/>
          <w:spacing w:val="5"/>
          <w:szCs w:val="32"/>
        </w:rPr>
        <w:t>线上线下</w:t>
      </w:r>
      <w:r>
        <w:rPr>
          <w:rFonts w:ascii="仿宋_GB2312" w:hAnsi="楷体" w:cs="楷体" w:hint="eastAsia"/>
          <w:color w:val="000000"/>
          <w:spacing w:val="5"/>
          <w:szCs w:val="32"/>
        </w:rPr>
        <w:t>融合</w:t>
      </w:r>
      <w:r>
        <w:rPr>
          <w:rFonts w:ascii="仿宋_GB2312" w:hAnsi="楷体" w:cs="楷体" w:hint="eastAsia"/>
          <w:color w:val="000000"/>
          <w:spacing w:val="5"/>
          <w:szCs w:val="32"/>
        </w:rPr>
        <w:t>，</w:t>
      </w:r>
      <w:r>
        <w:rPr>
          <w:rFonts w:ascii="仿宋_GB2312" w:hAnsi="楷体" w:cs="楷体" w:hint="eastAsia"/>
          <w:color w:val="000000"/>
          <w:spacing w:val="5"/>
          <w:szCs w:val="32"/>
        </w:rPr>
        <w:t>实现</w:t>
      </w:r>
      <w:r>
        <w:rPr>
          <w:rFonts w:ascii="仿宋_GB2312" w:hAnsi="楷体" w:cs="楷体" w:hint="eastAsia"/>
          <w:color w:val="000000"/>
          <w:spacing w:val="5"/>
          <w:szCs w:val="32"/>
        </w:rPr>
        <w:t>生产、经营、消费无缝链接，不断提升优质粮油产品消费体验。大力发展电子商务等新型营销模式，依托国家粮食交易平台，完善以“中国好粮油”电子交易平台为主体，区域性优质粮食产销合作平台一体化运作的线上交易机制。</w:t>
      </w:r>
      <w:bookmarkStart w:id="3" w:name="_Hlk81952620"/>
      <w:r>
        <w:rPr>
          <w:rFonts w:ascii="仿宋_GB2312" w:hAnsi="楷体" w:cs="楷体" w:hint="eastAsia"/>
          <w:spacing w:val="5"/>
          <w:szCs w:val="32"/>
        </w:rPr>
        <w:t>鼓励依托脱贫地区农副产品网络销售</w:t>
      </w:r>
      <w:r>
        <w:rPr>
          <w:rFonts w:ascii="仿宋_GB2312" w:hAnsi="楷体" w:cs="楷体" w:hint="eastAsia"/>
          <w:spacing w:val="5"/>
          <w:szCs w:val="32"/>
        </w:rPr>
        <w:t>平台（“</w:t>
      </w:r>
      <w:r>
        <w:rPr>
          <w:rFonts w:ascii="仿宋_GB2312" w:hAnsi="楷体" w:cs="楷体" w:hint="eastAsia"/>
          <w:spacing w:val="5"/>
          <w:szCs w:val="32"/>
        </w:rPr>
        <w:t>832</w:t>
      </w:r>
      <w:r>
        <w:rPr>
          <w:rFonts w:ascii="仿宋_GB2312" w:hAnsi="楷体" w:cs="楷体" w:hint="eastAsia"/>
          <w:spacing w:val="5"/>
          <w:szCs w:val="32"/>
        </w:rPr>
        <w:t>平台”）创建“好粮油”产品专区，推介脱贫地区的“中国好粮油”和省级“好粮油”产品。</w:t>
      </w:r>
      <w:r>
        <w:rPr>
          <w:rFonts w:ascii="仿宋_GB2312" w:hAnsi="楷体" w:cs="楷体" w:hint="eastAsia"/>
          <w:color w:val="000000"/>
          <w:spacing w:val="5"/>
          <w:szCs w:val="32"/>
        </w:rPr>
        <w:t>积极开展产销对接，依托“好粮油”销售示范点、军粮供应和应急供应网点、主食厨房等，</w:t>
      </w:r>
      <w:bookmarkEnd w:id="3"/>
      <w:r>
        <w:rPr>
          <w:rFonts w:ascii="仿宋_GB2312" w:hAnsi="楷体" w:cs="楷体" w:hint="eastAsia"/>
          <w:color w:val="000000"/>
          <w:spacing w:val="5"/>
          <w:szCs w:val="32"/>
        </w:rPr>
        <w:t>健全特色优质产品直供直营直销体系</w:t>
      </w:r>
      <w:r>
        <w:rPr>
          <w:rFonts w:ascii="仿宋_GB2312" w:hAnsi="楷体" w:cs="楷体" w:hint="eastAsia"/>
          <w:color w:val="000000"/>
          <w:spacing w:val="5"/>
          <w:szCs w:val="32"/>
        </w:rPr>
        <w:t>，</w:t>
      </w:r>
      <w:r>
        <w:rPr>
          <w:rFonts w:ascii="仿宋_GB2312" w:hAnsi="楷体" w:cs="楷体" w:hint="eastAsia"/>
          <w:color w:val="000000"/>
          <w:spacing w:val="5"/>
          <w:szCs w:val="32"/>
        </w:rPr>
        <w:t>提升</w:t>
      </w:r>
      <w:r>
        <w:rPr>
          <w:rFonts w:ascii="仿宋_GB2312" w:hAnsi="楷体" w:cs="楷体" w:hint="eastAsia"/>
          <w:color w:val="000000"/>
          <w:spacing w:val="5"/>
          <w:szCs w:val="32"/>
        </w:rPr>
        <w:t>物流运输、资金结算等</w:t>
      </w:r>
      <w:r>
        <w:rPr>
          <w:rFonts w:ascii="仿宋_GB2312" w:hAnsi="楷体" w:cs="楷体" w:hint="eastAsia"/>
          <w:color w:val="000000"/>
          <w:spacing w:val="5"/>
          <w:szCs w:val="32"/>
        </w:rPr>
        <w:t>服务功能</w:t>
      </w:r>
      <w:r>
        <w:rPr>
          <w:rFonts w:ascii="仿宋_GB2312" w:hAnsi="楷体" w:cs="楷体" w:hint="eastAsia"/>
          <w:color w:val="000000"/>
          <w:spacing w:val="5"/>
          <w:szCs w:val="32"/>
        </w:rPr>
        <w:t>。</w:t>
      </w:r>
    </w:p>
    <w:p w:rsidR="00000000" w:rsidRDefault="00A45C30">
      <w:pPr>
        <w:overflowPunct w:val="0"/>
        <w:adjustRightInd w:val="0"/>
        <w:ind w:firstLineChars="200" w:firstLine="660"/>
        <w:rPr>
          <w:rFonts w:ascii="黑体" w:eastAsia="黑体" w:hAnsi="黑体" w:cs="黑体"/>
          <w:bCs/>
          <w:color w:val="000000"/>
          <w:spacing w:val="5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5"/>
          <w:szCs w:val="32"/>
        </w:rPr>
        <w:t>三、保障措施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hAnsi="楷体" w:cs="楷体"/>
          <w:color w:val="000000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bCs/>
          <w:color w:val="000000"/>
          <w:spacing w:val="5"/>
          <w:szCs w:val="32"/>
        </w:rPr>
        <w:t>（八）健全实施机制。</w:t>
      </w:r>
      <w:r>
        <w:rPr>
          <w:rFonts w:ascii="仿宋_GB2312" w:hAnsi="楷体" w:cs="楷体" w:hint="eastAsia"/>
          <w:color w:val="000000"/>
          <w:spacing w:val="5"/>
          <w:szCs w:val="32"/>
        </w:rPr>
        <w:t>强化统筹协调，建立省级组织、市县实施、粮食部门</w:t>
      </w:r>
      <w:r>
        <w:rPr>
          <w:rFonts w:ascii="仿宋_GB2312" w:hAnsi="楷体" w:cs="楷体" w:hint="eastAsia"/>
          <w:color w:val="000000"/>
          <w:spacing w:val="5"/>
          <w:szCs w:val="32"/>
        </w:rPr>
        <w:t>牵头、相关部门参与落实</w:t>
      </w:r>
      <w:r>
        <w:rPr>
          <w:rFonts w:ascii="仿宋_GB2312" w:hAnsi="楷体" w:cs="楷体" w:hint="eastAsia"/>
          <w:color w:val="000000"/>
          <w:spacing w:val="5"/>
          <w:szCs w:val="32"/>
        </w:rPr>
        <w:t>的机制</w:t>
      </w:r>
      <w:r>
        <w:rPr>
          <w:rFonts w:ascii="仿宋_GB2312" w:hAnsi="楷体" w:cs="楷体" w:hint="eastAsia"/>
          <w:color w:val="000000"/>
          <w:spacing w:val="5"/>
          <w:szCs w:val="32"/>
        </w:rPr>
        <w:t>，</w:t>
      </w:r>
      <w:r>
        <w:rPr>
          <w:rFonts w:ascii="仿宋_GB2312" w:hAnsi="楷体" w:cs="楷体" w:hint="eastAsia"/>
          <w:color w:val="000000"/>
          <w:spacing w:val="5"/>
          <w:szCs w:val="32"/>
        </w:rPr>
        <w:t>充分调动</w:t>
      </w:r>
      <w:r>
        <w:rPr>
          <w:rFonts w:ascii="仿宋_GB2312" w:hAnsi="楷体" w:cs="楷体" w:hint="eastAsia"/>
          <w:color w:val="000000"/>
          <w:spacing w:val="5"/>
          <w:szCs w:val="32"/>
        </w:rPr>
        <w:t>加工收储企业、质检机构、粮食产后服务中心、基层农民专业合作社等</w:t>
      </w:r>
      <w:r>
        <w:rPr>
          <w:rFonts w:ascii="仿宋_GB2312" w:hAnsi="楷体" w:cs="楷体" w:hint="eastAsia"/>
          <w:color w:val="000000"/>
          <w:spacing w:val="5"/>
          <w:szCs w:val="32"/>
        </w:rPr>
        <w:t>各类主体的积极性和创造性，协同推进粮食品种品质品牌提升行动。</w:t>
      </w:r>
      <w:r>
        <w:rPr>
          <w:rFonts w:ascii="仿宋_GB2312" w:hAnsi="楷体" w:cs="楷体" w:hint="eastAsia"/>
          <w:color w:val="000000"/>
          <w:spacing w:val="5"/>
          <w:szCs w:val="32"/>
        </w:rPr>
        <w:t>省级粮食</w:t>
      </w:r>
      <w:r>
        <w:rPr>
          <w:rFonts w:ascii="仿宋_GB2312" w:hAnsi="楷体" w:cs="楷体" w:hint="eastAsia"/>
          <w:color w:val="000000"/>
          <w:spacing w:val="5"/>
          <w:szCs w:val="32"/>
        </w:rPr>
        <w:t>和物资储备</w:t>
      </w:r>
      <w:r>
        <w:rPr>
          <w:rFonts w:ascii="仿宋_GB2312" w:hAnsi="楷体" w:cs="楷体" w:hint="eastAsia"/>
          <w:color w:val="000000"/>
          <w:spacing w:val="5"/>
          <w:szCs w:val="32"/>
        </w:rPr>
        <w:t>部门</w:t>
      </w:r>
      <w:r>
        <w:rPr>
          <w:rFonts w:ascii="仿宋_GB2312" w:hAnsi="楷体" w:cs="楷体" w:hint="eastAsia"/>
          <w:color w:val="000000"/>
          <w:spacing w:val="5"/>
          <w:szCs w:val="32"/>
        </w:rPr>
        <w:t>要</w:t>
      </w:r>
      <w:r>
        <w:rPr>
          <w:rFonts w:ascii="仿宋_GB2312" w:hAnsi="楷体" w:cs="楷体" w:hint="eastAsia"/>
          <w:color w:val="000000"/>
          <w:spacing w:val="5"/>
          <w:szCs w:val="32"/>
        </w:rPr>
        <w:t>根</w:t>
      </w:r>
      <w:r>
        <w:rPr>
          <w:rFonts w:ascii="仿宋_GB2312" w:hAnsi="楷体" w:cs="楷体" w:hint="eastAsia"/>
          <w:color w:val="000000"/>
          <w:spacing w:val="5"/>
          <w:szCs w:val="32"/>
        </w:rPr>
        <w:t>据本地实际，细化实施方案，明确职责分工，强化责任落实，确保落地见效。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hAnsi="仿宋_GB2312" w:cs="仿宋_GB2312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bCs/>
          <w:color w:val="000000"/>
          <w:spacing w:val="5"/>
          <w:szCs w:val="32"/>
        </w:rPr>
        <w:lastRenderedPageBreak/>
        <w:t>（九）统筹政策支持。</w:t>
      </w:r>
      <w:r>
        <w:rPr>
          <w:rFonts w:ascii="仿宋_GB2312" w:hAnsi="仿宋_GB2312" w:cs="仿宋_GB2312" w:hint="eastAsia"/>
          <w:spacing w:val="5"/>
          <w:szCs w:val="32"/>
        </w:rPr>
        <w:t>各地要落实《意见》要求，加强中央财政安排的产粮大县奖励资金、粮食风险基金等资金统筹，积极支持</w:t>
      </w:r>
      <w:r>
        <w:rPr>
          <w:rFonts w:ascii="仿宋_GB2312" w:hAnsi="仿宋_GB2312" w:cs="仿宋_GB2312" w:hint="eastAsia"/>
          <w:spacing w:val="5"/>
          <w:szCs w:val="32"/>
        </w:rPr>
        <w:t>开展</w:t>
      </w:r>
      <w:r>
        <w:rPr>
          <w:rFonts w:ascii="仿宋_GB2312" w:hAnsi="仿宋_GB2312" w:cs="仿宋_GB2312" w:hint="eastAsia"/>
          <w:spacing w:val="5"/>
          <w:szCs w:val="32"/>
        </w:rPr>
        <w:t>粮食品种品质品牌提升行动。拓宽政策性金融支粮新模式新途径，争取</w:t>
      </w:r>
      <w:r>
        <w:rPr>
          <w:rFonts w:ascii="仿宋_GB2312" w:hAnsi="仿宋_GB2312" w:cs="仿宋_GB2312" w:hint="eastAsia"/>
          <w:spacing w:val="5"/>
          <w:szCs w:val="32"/>
        </w:rPr>
        <w:t>金融机构信贷支持</w:t>
      </w:r>
      <w:r>
        <w:rPr>
          <w:rFonts w:ascii="仿宋_GB2312" w:hAnsi="仿宋_GB2312" w:cs="仿宋_GB2312" w:hint="eastAsia"/>
          <w:spacing w:val="5"/>
          <w:szCs w:val="32"/>
        </w:rPr>
        <w:t>。持续完善财政资金使用方式，包括先建后补、贷款贴息等，并做好同其他政策的协调配合，有效带动社会资本加大投入，形成共同参与推进的合力。加强财政资金监管，确保资金安全、规范使用，不断提高使用效益。</w:t>
      </w:r>
    </w:p>
    <w:p w:rsidR="00000000" w:rsidRDefault="00A45C30">
      <w:pPr>
        <w:overflowPunct w:val="0"/>
        <w:adjustRightInd w:val="0"/>
        <w:ind w:firstLineChars="200" w:firstLine="661"/>
        <w:rPr>
          <w:rFonts w:ascii="仿宋_GB2312" w:hAnsi="华文中宋" w:cs="永中宋体"/>
          <w:color w:val="000000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color w:val="000000"/>
          <w:spacing w:val="5"/>
          <w:szCs w:val="32"/>
        </w:rPr>
        <w:t>（十）强化科技和人才支撑。</w:t>
      </w:r>
      <w:r>
        <w:rPr>
          <w:rFonts w:ascii="仿宋_GB2312" w:hAnsi="华文中宋" w:cs="永中宋体"/>
          <w:color w:val="000000"/>
          <w:spacing w:val="5"/>
          <w:szCs w:val="32"/>
        </w:rPr>
        <w:t>鼓励发挥大专院校、科研院所优</w:t>
      </w:r>
      <w:r>
        <w:rPr>
          <w:rFonts w:ascii="仿宋_GB2312" w:hAnsi="华文中宋" w:cs="永中宋体"/>
          <w:color w:val="000000"/>
          <w:spacing w:val="5"/>
          <w:szCs w:val="32"/>
        </w:rPr>
        <w:t>势，积极搭建科技创新平台，</w:t>
      </w:r>
      <w:r>
        <w:rPr>
          <w:rFonts w:ascii="仿宋_GB2312" w:hAnsi="华文中宋" w:cs="永中宋体" w:hint="eastAsia"/>
          <w:color w:val="000000"/>
          <w:spacing w:val="5"/>
          <w:szCs w:val="32"/>
        </w:rPr>
        <w:t>加强品种、品质关键技术攻关，</w:t>
      </w:r>
      <w:r>
        <w:rPr>
          <w:rFonts w:ascii="仿宋_GB2312" w:hAnsi="华文中宋" w:cs="永中宋体"/>
          <w:color w:val="000000"/>
          <w:spacing w:val="5"/>
          <w:szCs w:val="32"/>
        </w:rPr>
        <w:t>加大对营养健康、质量安全、加工转化等</w:t>
      </w:r>
      <w:r>
        <w:rPr>
          <w:rFonts w:ascii="仿宋_GB2312" w:hAnsi="华文中宋" w:cs="永中宋体" w:hint="eastAsia"/>
          <w:color w:val="000000"/>
          <w:spacing w:val="5"/>
          <w:szCs w:val="32"/>
        </w:rPr>
        <w:t>方面</w:t>
      </w:r>
      <w:r>
        <w:rPr>
          <w:rFonts w:ascii="仿宋_GB2312" w:hAnsi="华文中宋" w:cs="永中宋体"/>
          <w:color w:val="000000"/>
          <w:spacing w:val="5"/>
          <w:szCs w:val="32"/>
        </w:rPr>
        <w:t>支持力度</w:t>
      </w:r>
      <w:r>
        <w:rPr>
          <w:rFonts w:ascii="仿宋_GB2312" w:hAnsi="华文中宋" w:cs="永中宋体" w:hint="eastAsia"/>
          <w:color w:val="000000"/>
          <w:spacing w:val="5"/>
          <w:szCs w:val="32"/>
        </w:rPr>
        <w:t>。强化优质粮油产品研发，</w:t>
      </w:r>
      <w:r>
        <w:rPr>
          <w:rFonts w:ascii="仿宋_GB2312" w:hAnsi="华文中宋" w:cs="永中宋体" w:hint="eastAsia"/>
          <w:color w:val="000000"/>
          <w:spacing w:val="5"/>
          <w:szCs w:val="32"/>
        </w:rPr>
        <w:t>推动</w:t>
      </w:r>
      <w:r>
        <w:rPr>
          <w:rFonts w:ascii="仿宋_GB2312" w:hAnsi="华文中宋" w:cs="永中宋体" w:hint="eastAsia"/>
          <w:color w:val="000000"/>
          <w:spacing w:val="5"/>
          <w:szCs w:val="32"/>
        </w:rPr>
        <w:t>优质产品上规模、特色产品标准化、绿色产品创品牌。</w:t>
      </w:r>
      <w:r>
        <w:rPr>
          <w:rFonts w:ascii="仿宋_GB2312" w:hAnsi="华文中宋" w:cs="永中宋体" w:hint="eastAsia"/>
          <w:color w:val="000000"/>
          <w:spacing w:val="5"/>
          <w:szCs w:val="32"/>
        </w:rPr>
        <w:t>加快专业化人才队伍建设，</w:t>
      </w:r>
      <w:r>
        <w:rPr>
          <w:rFonts w:ascii="仿宋_GB2312" w:hAnsi="华文中宋" w:cs="永中宋体" w:hint="eastAsia"/>
          <w:color w:val="000000"/>
          <w:spacing w:val="5"/>
          <w:szCs w:val="32"/>
        </w:rPr>
        <w:t>持续开展科技成果、人才、机构“三对接”活动，创新“产学研用”合作机制，</w:t>
      </w:r>
      <w:r>
        <w:rPr>
          <w:rFonts w:ascii="仿宋_GB2312" w:hAnsi="华文中宋" w:cs="永中宋体" w:hint="eastAsia"/>
          <w:color w:val="000000"/>
          <w:spacing w:val="5"/>
          <w:szCs w:val="32"/>
        </w:rPr>
        <w:t>加快科技成果转化</w:t>
      </w:r>
      <w:r>
        <w:rPr>
          <w:rFonts w:ascii="仿宋_GB2312" w:hAnsi="华文中宋" w:cs="永中宋体" w:hint="eastAsia"/>
          <w:color w:val="000000"/>
          <w:spacing w:val="5"/>
          <w:szCs w:val="32"/>
        </w:rPr>
        <w:t>。</w:t>
      </w:r>
    </w:p>
    <w:p w:rsidR="00000000" w:rsidRDefault="00A45C30">
      <w:pPr>
        <w:ind w:firstLineChars="200" w:firstLine="661"/>
        <w:rPr>
          <w:szCs w:val="32"/>
        </w:rPr>
      </w:pPr>
      <w:r>
        <w:rPr>
          <w:rFonts w:ascii="楷体_GB2312" w:eastAsia="楷体_GB2312" w:hAnsi="楷体" w:cs="楷体" w:hint="eastAsia"/>
          <w:b/>
          <w:bCs/>
          <w:color w:val="000000"/>
          <w:spacing w:val="5"/>
          <w:szCs w:val="32"/>
        </w:rPr>
        <w:t>（十一）加强考核监管。</w:t>
      </w:r>
      <w:r>
        <w:rPr>
          <w:rFonts w:ascii="仿宋_GB2312" w:cs="永中宋体" w:hint="eastAsia"/>
          <w:color w:val="000000"/>
          <w:spacing w:val="5"/>
          <w:szCs w:val="32"/>
        </w:rPr>
        <w:t>结合粮食安全省长责任制考核，增加优质</w:t>
      </w:r>
      <w:r>
        <w:rPr>
          <w:rFonts w:ascii="仿宋_GB2312" w:cs="永中宋体"/>
          <w:color w:val="000000"/>
          <w:spacing w:val="5"/>
          <w:szCs w:val="32"/>
        </w:rPr>
        <w:t>粮食</w:t>
      </w:r>
      <w:r>
        <w:rPr>
          <w:rFonts w:ascii="仿宋_GB2312" w:cs="永中宋体" w:hint="eastAsia"/>
          <w:color w:val="000000"/>
          <w:spacing w:val="5"/>
          <w:szCs w:val="32"/>
        </w:rPr>
        <w:t>增量、优质粮食品牌建设等指标</w:t>
      </w:r>
      <w:r>
        <w:rPr>
          <w:rFonts w:ascii="仿宋_GB2312" w:cs="永中宋体"/>
          <w:color w:val="000000"/>
          <w:spacing w:val="5"/>
          <w:szCs w:val="32"/>
        </w:rPr>
        <w:t>落实执行情况的考核</w:t>
      </w:r>
      <w:r>
        <w:rPr>
          <w:rFonts w:ascii="仿宋_GB2312" w:cs="永中宋体" w:hint="eastAsia"/>
          <w:color w:val="000000"/>
          <w:spacing w:val="5"/>
          <w:szCs w:val="32"/>
        </w:rPr>
        <w:t>内容，充分</w:t>
      </w:r>
      <w:r>
        <w:rPr>
          <w:rFonts w:ascii="仿宋_GB2312" w:cs="永中宋体"/>
          <w:color w:val="000000"/>
          <w:spacing w:val="5"/>
          <w:szCs w:val="32"/>
        </w:rPr>
        <w:t>发挥考核指挥棒作用。</w:t>
      </w:r>
      <w:r>
        <w:rPr>
          <w:rFonts w:ascii="仿宋_GB2312" w:cs="永中宋体" w:hint="eastAsia"/>
          <w:color w:val="000000"/>
          <w:spacing w:val="5"/>
          <w:szCs w:val="32"/>
        </w:rPr>
        <w:t>各地要</w:t>
      </w:r>
      <w:r>
        <w:rPr>
          <w:rFonts w:ascii="仿宋_GB2312" w:cs="永中宋体" w:hint="eastAsia"/>
          <w:color w:val="000000"/>
          <w:spacing w:val="5"/>
          <w:szCs w:val="32"/>
        </w:rPr>
        <w:t>加强项目审核和实施全过程监管，监督指导各类资金使用，确保专款专用、安全高效。</w:t>
      </w:r>
      <w:r>
        <w:rPr>
          <w:rFonts w:ascii="仿宋_GB2312" w:cs="永中宋体"/>
          <w:color w:val="000000"/>
          <w:spacing w:val="5"/>
          <w:szCs w:val="32"/>
        </w:rPr>
        <w:t>完善粮食行业</w:t>
      </w:r>
      <w:r>
        <w:rPr>
          <w:rFonts w:ascii="仿宋_GB2312" w:cs="永中宋体" w:hint="eastAsia"/>
          <w:color w:val="000000"/>
          <w:spacing w:val="5"/>
          <w:szCs w:val="32"/>
        </w:rPr>
        <w:t>信用</w:t>
      </w:r>
      <w:r>
        <w:rPr>
          <w:rFonts w:ascii="仿宋_GB2312" w:cs="永中宋体"/>
          <w:color w:val="000000"/>
          <w:spacing w:val="5"/>
          <w:szCs w:val="32"/>
        </w:rPr>
        <w:t>体系建设，强化信用监管</w:t>
      </w:r>
      <w:r>
        <w:rPr>
          <w:rFonts w:ascii="仿宋_GB2312" w:cs="永中宋体" w:hint="eastAsia"/>
          <w:color w:val="000000"/>
          <w:spacing w:val="5"/>
          <w:szCs w:val="32"/>
        </w:rPr>
        <w:t>，</w:t>
      </w:r>
      <w:r>
        <w:rPr>
          <w:rFonts w:ascii="仿宋_GB2312" w:cs="永中宋体" w:hint="eastAsia"/>
          <w:color w:val="000000"/>
          <w:spacing w:val="5"/>
          <w:szCs w:val="32"/>
        </w:rPr>
        <w:t>加大</w:t>
      </w:r>
      <w:r>
        <w:rPr>
          <w:rFonts w:ascii="仿宋_GB2312" w:cs="永中宋体"/>
          <w:color w:val="000000"/>
          <w:spacing w:val="5"/>
          <w:szCs w:val="32"/>
        </w:rPr>
        <w:t>对</w:t>
      </w:r>
      <w:r>
        <w:rPr>
          <w:rFonts w:ascii="仿宋_GB2312" w:cs="永中宋体" w:hint="eastAsia"/>
          <w:color w:val="000000"/>
          <w:spacing w:val="5"/>
          <w:szCs w:val="32"/>
        </w:rPr>
        <w:t>粮食品质和品牌</w:t>
      </w:r>
      <w:r>
        <w:rPr>
          <w:rFonts w:ascii="仿宋_GB2312" w:cs="永中宋体"/>
          <w:color w:val="000000"/>
          <w:spacing w:val="5"/>
          <w:szCs w:val="32"/>
        </w:rPr>
        <w:t>违法违规行为核查力度</w:t>
      </w:r>
      <w:r>
        <w:rPr>
          <w:rFonts w:ascii="仿宋_GB2312" w:cs="永中宋体" w:hint="eastAsia"/>
          <w:color w:val="000000"/>
          <w:spacing w:val="5"/>
          <w:szCs w:val="32"/>
        </w:rPr>
        <w:t>。</w:t>
      </w:r>
    </w:p>
    <w:p w:rsidR="00A45C30" w:rsidRDefault="00A45C30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A45C30">
      <w:footerReference w:type="default" r:id="rId6"/>
      <w:pgSz w:w="11907" w:h="16840"/>
      <w:pgMar w:top="2098" w:right="1531" w:bottom="1531" w:left="1531" w:header="851" w:footer="1531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C30" w:rsidRDefault="00A45C30">
      <w:pPr>
        <w:spacing w:line="240" w:lineRule="auto"/>
      </w:pPr>
      <w:r>
        <w:separator/>
      </w:r>
    </w:p>
  </w:endnote>
  <w:endnote w:type="continuationSeparator" w:id="0">
    <w:p w:rsidR="00A45C30" w:rsidRDefault="00A45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fontKey="{CBFE26D0-87D4-4B4C-AC6D-9EE9097E688C}"/>
    <w:embedBold r:id="rId2" w:subsetted="1" w:fontKey="{89736B36-9F75-4D3C-9FC1-E4F47A52DB5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康简标题宋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2149098-A6EA-49DE-8BA2-05E857C5819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4" w:subsetted="1" w:fontKey="{F20107CF-6AF2-4ECF-8849-E11757213507}"/>
  </w:font>
  <w:font w:name="方正粗黑宋简体">
    <w:charset w:val="86"/>
    <w:family w:val="auto"/>
    <w:pitch w:val="default"/>
    <w:sig w:usb0="A00002BF" w:usb1="184F6CFA" w:usb2="00000012" w:usb3="00000000" w:csb0="00040001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5" w:fontKey="{11147DE0-9973-4F11-9DDC-F4DB8F6457AA}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B6D96044-F77B-49AA-BE8C-FD0870747D2E}"/>
  </w:font>
  <w:font w:name="永中宋体">
    <w:altName w:val="仿宋_GB2312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45C30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C30" w:rsidRDefault="00A45C30">
      <w:pPr>
        <w:spacing w:line="240" w:lineRule="auto"/>
      </w:pPr>
      <w:r>
        <w:separator/>
      </w:r>
    </w:p>
  </w:footnote>
  <w:footnote w:type="continuationSeparator" w:id="0">
    <w:p w:rsidR="00A45C30" w:rsidRDefault="00A45C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320"/>
  <w:drawingGridVerticalSpacing w:val="218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087"/>
    <w:rsid w:val="000001E5"/>
    <w:rsid w:val="000158EE"/>
    <w:rsid w:val="00024088"/>
    <w:rsid w:val="00025532"/>
    <w:rsid w:val="00031B62"/>
    <w:rsid w:val="00035FB1"/>
    <w:rsid w:val="000535C4"/>
    <w:rsid w:val="0005669F"/>
    <w:rsid w:val="00062797"/>
    <w:rsid w:val="00065C59"/>
    <w:rsid w:val="000726E8"/>
    <w:rsid w:val="00083301"/>
    <w:rsid w:val="0008387E"/>
    <w:rsid w:val="00090397"/>
    <w:rsid w:val="0009557E"/>
    <w:rsid w:val="000A2858"/>
    <w:rsid w:val="000A75B9"/>
    <w:rsid w:val="000B13DD"/>
    <w:rsid w:val="000B19CE"/>
    <w:rsid w:val="000B534A"/>
    <w:rsid w:val="000C0CDF"/>
    <w:rsid w:val="000C146F"/>
    <w:rsid w:val="000C2651"/>
    <w:rsid w:val="000C3A3E"/>
    <w:rsid w:val="000C45AC"/>
    <w:rsid w:val="000D0748"/>
    <w:rsid w:val="000D2A6F"/>
    <w:rsid w:val="000D300B"/>
    <w:rsid w:val="000D393E"/>
    <w:rsid w:val="000E1093"/>
    <w:rsid w:val="000E4B1B"/>
    <w:rsid w:val="000E71F8"/>
    <w:rsid w:val="0010377E"/>
    <w:rsid w:val="00110B1D"/>
    <w:rsid w:val="00112E5C"/>
    <w:rsid w:val="0012088E"/>
    <w:rsid w:val="00125B46"/>
    <w:rsid w:val="00130E33"/>
    <w:rsid w:val="00133694"/>
    <w:rsid w:val="00137874"/>
    <w:rsid w:val="00153D1E"/>
    <w:rsid w:val="0016629E"/>
    <w:rsid w:val="0017464D"/>
    <w:rsid w:val="00174BA4"/>
    <w:rsid w:val="00175A69"/>
    <w:rsid w:val="001806A6"/>
    <w:rsid w:val="00181594"/>
    <w:rsid w:val="00181FA0"/>
    <w:rsid w:val="00186CE7"/>
    <w:rsid w:val="001907E7"/>
    <w:rsid w:val="001A4164"/>
    <w:rsid w:val="001C4F37"/>
    <w:rsid w:val="001C5364"/>
    <w:rsid w:val="001D4264"/>
    <w:rsid w:val="001E53F2"/>
    <w:rsid w:val="00211B58"/>
    <w:rsid w:val="00212C32"/>
    <w:rsid w:val="00217DC8"/>
    <w:rsid w:val="00226EFA"/>
    <w:rsid w:val="00233FF1"/>
    <w:rsid w:val="00240AB1"/>
    <w:rsid w:val="00242345"/>
    <w:rsid w:val="00244823"/>
    <w:rsid w:val="00252DE0"/>
    <w:rsid w:val="00255970"/>
    <w:rsid w:val="00265327"/>
    <w:rsid w:val="00277344"/>
    <w:rsid w:val="00277DF6"/>
    <w:rsid w:val="00292D2B"/>
    <w:rsid w:val="002A3C59"/>
    <w:rsid w:val="002C0508"/>
    <w:rsid w:val="002E16B8"/>
    <w:rsid w:val="002F0EC8"/>
    <w:rsid w:val="002F4D0F"/>
    <w:rsid w:val="002F6B80"/>
    <w:rsid w:val="00312630"/>
    <w:rsid w:val="00315E64"/>
    <w:rsid w:val="003226BE"/>
    <w:rsid w:val="00325397"/>
    <w:rsid w:val="00334E05"/>
    <w:rsid w:val="003364A1"/>
    <w:rsid w:val="00344905"/>
    <w:rsid w:val="00354DD0"/>
    <w:rsid w:val="00357529"/>
    <w:rsid w:val="003609DF"/>
    <w:rsid w:val="00361E8D"/>
    <w:rsid w:val="00362D03"/>
    <w:rsid w:val="003755FC"/>
    <w:rsid w:val="00377132"/>
    <w:rsid w:val="00380B73"/>
    <w:rsid w:val="003B4B18"/>
    <w:rsid w:val="003B6A34"/>
    <w:rsid w:val="003B7617"/>
    <w:rsid w:val="003D236A"/>
    <w:rsid w:val="003D27BE"/>
    <w:rsid w:val="003D5FD1"/>
    <w:rsid w:val="003D7CB9"/>
    <w:rsid w:val="003E08F0"/>
    <w:rsid w:val="003E69B8"/>
    <w:rsid w:val="003F4AB0"/>
    <w:rsid w:val="003F7EE5"/>
    <w:rsid w:val="00401C10"/>
    <w:rsid w:val="004046F6"/>
    <w:rsid w:val="0042199E"/>
    <w:rsid w:val="00424D63"/>
    <w:rsid w:val="00425F93"/>
    <w:rsid w:val="00430F55"/>
    <w:rsid w:val="00443780"/>
    <w:rsid w:val="0044414E"/>
    <w:rsid w:val="004504BF"/>
    <w:rsid w:val="00451A34"/>
    <w:rsid w:val="00453DA4"/>
    <w:rsid w:val="00455DAB"/>
    <w:rsid w:val="00455E61"/>
    <w:rsid w:val="00465B25"/>
    <w:rsid w:val="00487133"/>
    <w:rsid w:val="00487EF6"/>
    <w:rsid w:val="0049697D"/>
    <w:rsid w:val="004977CE"/>
    <w:rsid w:val="004B0A4E"/>
    <w:rsid w:val="004B2B23"/>
    <w:rsid w:val="004B35B3"/>
    <w:rsid w:val="004B599A"/>
    <w:rsid w:val="004E25E9"/>
    <w:rsid w:val="004F2683"/>
    <w:rsid w:val="00500542"/>
    <w:rsid w:val="005006EE"/>
    <w:rsid w:val="0051084E"/>
    <w:rsid w:val="00521100"/>
    <w:rsid w:val="00521E18"/>
    <w:rsid w:val="00533C41"/>
    <w:rsid w:val="00541731"/>
    <w:rsid w:val="00541E2E"/>
    <w:rsid w:val="0054242B"/>
    <w:rsid w:val="00547363"/>
    <w:rsid w:val="0055757B"/>
    <w:rsid w:val="0056191F"/>
    <w:rsid w:val="00567FB6"/>
    <w:rsid w:val="00575764"/>
    <w:rsid w:val="00586666"/>
    <w:rsid w:val="005A56F4"/>
    <w:rsid w:val="005A70A7"/>
    <w:rsid w:val="005B278C"/>
    <w:rsid w:val="005C2B44"/>
    <w:rsid w:val="005C59C8"/>
    <w:rsid w:val="005E1D90"/>
    <w:rsid w:val="005E1E08"/>
    <w:rsid w:val="005E69D7"/>
    <w:rsid w:val="00601C0B"/>
    <w:rsid w:val="00603ACC"/>
    <w:rsid w:val="00606840"/>
    <w:rsid w:val="00610B06"/>
    <w:rsid w:val="00615BE4"/>
    <w:rsid w:val="00616607"/>
    <w:rsid w:val="00620FC5"/>
    <w:rsid w:val="006326DC"/>
    <w:rsid w:val="00676203"/>
    <w:rsid w:val="006879C5"/>
    <w:rsid w:val="006949E6"/>
    <w:rsid w:val="006A0356"/>
    <w:rsid w:val="006A0806"/>
    <w:rsid w:val="006A1C4C"/>
    <w:rsid w:val="006A42FD"/>
    <w:rsid w:val="006C0C90"/>
    <w:rsid w:val="006C11D7"/>
    <w:rsid w:val="006D127C"/>
    <w:rsid w:val="006D1BCE"/>
    <w:rsid w:val="006E0D48"/>
    <w:rsid w:val="006F1F1B"/>
    <w:rsid w:val="006F4829"/>
    <w:rsid w:val="0070176B"/>
    <w:rsid w:val="007051BD"/>
    <w:rsid w:val="0070650D"/>
    <w:rsid w:val="007365D3"/>
    <w:rsid w:val="0074241D"/>
    <w:rsid w:val="00744568"/>
    <w:rsid w:val="00752CE3"/>
    <w:rsid w:val="00757A97"/>
    <w:rsid w:val="007630A7"/>
    <w:rsid w:val="007702FB"/>
    <w:rsid w:val="00777798"/>
    <w:rsid w:val="00794C71"/>
    <w:rsid w:val="007A3618"/>
    <w:rsid w:val="007A7D9F"/>
    <w:rsid w:val="007B0166"/>
    <w:rsid w:val="007C01AC"/>
    <w:rsid w:val="007C2B51"/>
    <w:rsid w:val="007E13CE"/>
    <w:rsid w:val="007E2BAE"/>
    <w:rsid w:val="007F217A"/>
    <w:rsid w:val="008063BE"/>
    <w:rsid w:val="008217A1"/>
    <w:rsid w:val="00825DBA"/>
    <w:rsid w:val="0083482E"/>
    <w:rsid w:val="008402F8"/>
    <w:rsid w:val="0084389E"/>
    <w:rsid w:val="00850D68"/>
    <w:rsid w:val="0085327D"/>
    <w:rsid w:val="00853863"/>
    <w:rsid w:val="00857DE0"/>
    <w:rsid w:val="008705F7"/>
    <w:rsid w:val="0088018F"/>
    <w:rsid w:val="00880AC3"/>
    <w:rsid w:val="00882EEC"/>
    <w:rsid w:val="008853B4"/>
    <w:rsid w:val="008965BF"/>
    <w:rsid w:val="008C4563"/>
    <w:rsid w:val="008D0BB8"/>
    <w:rsid w:val="008D2BC3"/>
    <w:rsid w:val="008D4ED3"/>
    <w:rsid w:val="008F1E38"/>
    <w:rsid w:val="00900E53"/>
    <w:rsid w:val="00907E65"/>
    <w:rsid w:val="0091056C"/>
    <w:rsid w:val="009115C0"/>
    <w:rsid w:val="00911943"/>
    <w:rsid w:val="00912E59"/>
    <w:rsid w:val="00912F0B"/>
    <w:rsid w:val="00914EBB"/>
    <w:rsid w:val="00937758"/>
    <w:rsid w:val="0095058D"/>
    <w:rsid w:val="00952E66"/>
    <w:rsid w:val="0097691F"/>
    <w:rsid w:val="00984B82"/>
    <w:rsid w:val="0098741E"/>
    <w:rsid w:val="00991D90"/>
    <w:rsid w:val="0099351A"/>
    <w:rsid w:val="009940E5"/>
    <w:rsid w:val="00996BE1"/>
    <w:rsid w:val="00996D8B"/>
    <w:rsid w:val="009B23F4"/>
    <w:rsid w:val="009B5221"/>
    <w:rsid w:val="009B71B2"/>
    <w:rsid w:val="009C5CA2"/>
    <w:rsid w:val="009E2FFE"/>
    <w:rsid w:val="009F16A2"/>
    <w:rsid w:val="00A0504C"/>
    <w:rsid w:val="00A0750E"/>
    <w:rsid w:val="00A1021E"/>
    <w:rsid w:val="00A14A59"/>
    <w:rsid w:val="00A249B0"/>
    <w:rsid w:val="00A25E52"/>
    <w:rsid w:val="00A309CC"/>
    <w:rsid w:val="00A34687"/>
    <w:rsid w:val="00A36A0F"/>
    <w:rsid w:val="00A45C30"/>
    <w:rsid w:val="00A5748B"/>
    <w:rsid w:val="00A67B3C"/>
    <w:rsid w:val="00A72720"/>
    <w:rsid w:val="00A748F1"/>
    <w:rsid w:val="00A93234"/>
    <w:rsid w:val="00A94B37"/>
    <w:rsid w:val="00A97311"/>
    <w:rsid w:val="00AB7E1F"/>
    <w:rsid w:val="00AC3BD8"/>
    <w:rsid w:val="00AC464D"/>
    <w:rsid w:val="00AC4F26"/>
    <w:rsid w:val="00AC524E"/>
    <w:rsid w:val="00AC54E9"/>
    <w:rsid w:val="00AD2820"/>
    <w:rsid w:val="00AE506A"/>
    <w:rsid w:val="00AE70B8"/>
    <w:rsid w:val="00AF5118"/>
    <w:rsid w:val="00B03092"/>
    <w:rsid w:val="00B042BC"/>
    <w:rsid w:val="00B16322"/>
    <w:rsid w:val="00B50C3A"/>
    <w:rsid w:val="00B667C8"/>
    <w:rsid w:val="00B676C7"/>
    <w:rsid w:val="00B7174C"/>
    <w:rsid w:val="00B71A84"/>
    <w:rsid w:val="00B71FAD"/>
    <w:rsid w:val="00B9465A"/>
    <w:rsid w:val="00BA12D0"/>
    <w:rsid w:val="00BA1F7C"/>
    <w:rsid w:val="00BA6C3C"/>
    <w:rsid w:val="00BC6852"/>
    <w:rsid w:val="00BD2F43"/>
    <w:rsid w:val="00BE39E9"/>
    <w:rsid w:val="00BE4C94"/>
    <w:rsid w:val="00BF2C82"/>
    <w:rsid w:val="00BF341E"/>
    <w:rsid w:val="00BF7F01"/>
    <w:rsid w:val="00C06BC3"/>
    <w:rsid w:val="00C0759C"/>
    <w:rsid w:val="00C10087"/>
    <w:rsid w:val="00C14446"/>
    <w:rsid w:val="00C16111"/>
    <w:rsid w:val="00C305D0"/>
    <w:rsid w:val="00C43B47"/>
    <w:rsid w:val="00C601B1"/>
    <w:rsid w:val="00C60255"/>
    <w:rsid w:val="00C762A2"/>
    <w:rsid w:val="00C8097E"/>
    <w:rsid w:val="00C8384A"/>
    <w:rsid w:val="00C90A9B"/>
    <w:rsid w:val="00C920D0"/>
    <w:rsid w:val="00C92C93"/>
    <w:rsid w:val="00CC0548"/>
    <w:rsid w:val="00CC499D"/>
    <w:rsid w:val="00CD282B"/>
    <w:rsid w:val="00CE11D9"/>
    <w:rsid w:val="00CF1399"/>
    <w:rsid w:val="00D06677"/>
    <w:rsid w:val="00D11D68"/>
    <w:rsid w:val="00D1313D"/>
    <w:rsid w:val="00D13CEE"/>
    <w:rsid w:val="00D25E6C"/>
    <w:rsid w:val="00D3249A"/>
    <w:rsid w:val="00D35C8C"/>
    <w:rsid w:val="00D54A94"/>
    <w:rsid w:val="00D602EA"/>
    <w:rsid w:val="00D653B1"/>
    <w:rsid w:val="00D663F5"/>
    <w:rsid w:val="00D67405"/>
    <w:rsid w:val="00D7407A"/>
    <w:rsid w:val="00DA371E"/>
    <w:rsid w:val="00DA5975"/>
    <w:rsid w:val="00DB4A5E"/>
    <w:rsid w:val="00DB6D74"/>
    <w:rsid w:val="00DC257C"/>
    <w:rsid w:val="00DC3826"/>
    <w:rsid w:val="00DC7A29"/>
    <w:rsid w:val="00DD107C"/>
    <w:rsid w:val="00DD1129"/>
    <w:rsid w:val="00DD7B7E"/>
    <w:rsid w:val="00DE02E5"/>
    <w:rsid w:val="00DE2419"/>
    <w:rsid w:val="00DE3E70"/>
    <w:rsid w:val="00DE4B38"/>
    <w:rsid w:val="00DF0B6A"/>
    <w:rsid w:val="00DF2C1B"/>
    <w:rsid w:val="00DF3A64"/>
    <w:rsid w:val="00DF4C01"/>
    <w:rsid w:val="00DF6F78"/>
    <w:rsid w:val="00DF7C36"/>
    <w:rsid w:val="00E4368F"/>
    <w:rsid w:val="00E46222"/>
    <w:rsid w:val="00E46B00"/>
    <w:rsid w:val="00E47D41"/>
    <w:rsid w:val="00E73070"/>
    <w:rsid w:val="00E76FF8"/>
    <w:rsid w:val="00E81D06"/>
    <w:rsid w:val="00E911C5"/>
    <w:rsid w:val="00E96067"/>
    <w:rsid w:val="00EA1A32"/>
    <w:rsid w:val="00EA5D57"/>
    <w:rsid w:val="00EA73D8"/>
    <w:rsid w:val="00EB2E9A"/>
    <w:rsid w:val="00EB70AB"/>
    <w:rsid w:val="00EC51B7"/>
    <w:rsid w:val="00EC7689"/>
    <w:rsid w:val="00EE2628"/>
    <w:rsid w:val="00EF091C"/>
    <w:rsid w:val="00F17041"/>
    <w:rsid w:val="00F24D4E"/>
    <w:rsid w:val="00F25512"/>
    <w:rsid w:val="00F32AA3"/>
    <w:rsid w:val="00F40C33"/>
    <w:rsid w:val="00F42C48"/>
    <w:rsid w:val="00F50348"/>
    <w:rsid w:val="00F576C7"/>
    <w:rsid w:val="00F65C95"/>
    <w:rsid w:val="00F72081"/>
    <w:rsid w:val="00F82B5B"/>
    <w:rsid w:val="00F97586"/>
    <w:rsid w:val="00FA2F94"/>
    <w:rsid w:val="00FB447E"/>
    <w:rsid w:val="00FC4EBA"/>
    <w:rsid w:val="00FC64D0"/>
    <w:rsid w:val="00FD2EFD"/>
    <w:rsid w:val="00FD69DA"/>
    <w:rsid w:val="00FF68EE"/>
    <w:rsid w:val="010C543D"/>
    <w:rsid w:val="02792F9B"/>
    <w:rsid w:val="03157EE1"/>
    <w:rsid w:val="046B3380"/>
    <w:rsid w:val="04DA061F"/>
    <w:rsid w:val="05282A26"/>
    <w:rsid w:val="05D61374"/>
    <w:rsid w:val="05DE7F94"/>
    <w:rsid w:val="060B5E44"/>
    <w:rsid w:val="0699289A"/>
    <w:rsid w:val="06CF280B"/>
    <w:rsid w:val="07262F42"/>
    <w:rsid w:val="074000EE"/>
    <w:rsid w:val="074E3384"/>
    <w:rsid w:val="08736AE3"/>
    <w:rsid w:val="08AA16F5"/>
    <w:rsid w:val="08E9215E"/>
    <w:rsid w:val="09744731"/>
    <w:rsid w:val="0AD443DF"/>
    <w:rsid w:val="0AE104AB"/>
    <w:rsid w:val="0AF33399"/>
    <w:rsid w:val="0B4247C1"/>
    <w:rsid w:val="0B85598D"/>
    <w:rsid w:val="0B861462"/>
    <w:rsid w:val="0B8A09A4"/>
    <w:rsid w:val="0DE8360C"/>
    <w:rsid w:val="0E84307D"/>
    <w:rsid w:val="0E8E3087"/>
    <w:rsid w:val="0EE4035C"/>
    <w:rsid w:val="0F2E1E8F"/>
    <w:rsid w:val="0FA12302"/>
    <w:rsid w:val="1098410F"/>
    <w:rsid w:val="10A2201E"/>
    <w:rsid w:val="10BC5E37"/>
    <w:rsid w:val="10BD10AE"/>
    <w:rsid w:val="110A0458"/>
    <w:rsid w:val="126950D1"/>
    <w:rsid w:val="127077B2"/>
    <w:rsid w:val="127A5A84"/>
    <w:rsid w:val="12864734"/>
    <w:rsid w:val="13182FC8"/>
    <w:rsid w:val="1331496B"/>
    <w:rsid w:val="13BD2E28"/>
    <w:rsid w:val="13C61B7D"/>
    <w:rsid w:val="143052CB"/>
    <w:rsid w:val="150823BE"/>
    <w:rsid w:val="15A858C2"/>
    <w:rsid w:val="164C37DC"/>
    <w:rsid w:val="165F25C5"/>
    <w:rsid w:val="165F49D8"/>
    <w:rsid w:val="16D5133F"/>
    <w:rsid w:val="16DC594F"/>
    <w:rsid w:val="16EB4A67"/>
    <w:rsid w:val="170B781F"/>
    <w:rsid w:val="17E94C62"/>
    <w:rsid w:val="18C23CE3"/>
    <w:rsid w:val="18C82A38"/>
    <w:rsid w:val="19036716"/>
    <w:rsid w:val="191762F9"/>
    <w:rsid w:val="19C967AD"/>
    <w:rsid w:val="1AD21A56"/>
    <w:rsid w:val="1C0523E9"/>
    <w:rsid w:val="1CB316CF"/>
    <w:rsid w:val="1DED769B"/>
    <w:rsid w:val="1E2536DA"/>
    <w:rsid w:val="1E830353"/>
    <w:rsid w:val="1FAC58F3"/>
    <w:rsid w:val="1FB45CC1"/>
    <w:rsid w:val="1FD11DA2"/>
    <w:rsid w:val="200E02CB"/>
    <w:rsid w:val="209C5C91"/>
    <w:rsid w:val="209D6A16"/>
    <w:rsid w:val="20AA3662"/>
    <w:rsid w:val="21A24BB8"/>
    <w:rsid w:val="21B13FD7"/>
    <w:rsid w:val="228B4537"/>
    <w:rsid w:val="22F45509"/>
    <w:rsid w:val="23AA5307"/>
    <w:rsid w:val="23E8671F"/>
    <w:rsid w:val="24120373"/>
    <w:rsid w:val="24417778"/>
    <w:rsid w:val="24771563"/>
    <w:rsid w:val="24E3524E"/>
    <w:rsid w:val="252736EF"/>
    <w:rsid w:val="25813A7E"/>
    <w:rsid w:val="25A437BB"/>
    <w:rsid w:val="25DA2E95"/>
    <w:rsid w:val="260521B6"/>
    <w:rsid w:val="269A666B"/>
    <w:rsid w:val="279204F1"/>
    <w:rsid w:val="279F2D3F"/>
    <w:rsid w:val="291E49C7"/>
    <w:rsid w:val="295A2EF7"/>
    <w:rsid w:val="296F5DD0"/>
    <w:rsid w:val="2A266B9B"/>
    <w:rsid w:val="2A2C4571"/>
    <w:rsid w:val="2A8D23BD"/>
    <w:rsid w:val="2AF83F7F"/>
    <w:rsid w:val="2BD66EF1"/>
    <w:rsid w:val="2C185601"/>
    <w:rsid w:val="2C2E1854"/>
    <w:rsid w:val="2C2E1DD2"/>
    <w:rsid w:val="2C3A177E"/>
    <w:rsid w:val="2DEC5C5F"/>
    <w:rsid w:val="2E1E7ED1"/>
    <w:rsid w:val="2ED91824"/>
    <w:rsid w:val="2EFA3CF3"/>
    <w:rsid w:val="2F102DA7"/>
    <w:rsid w:val="2F6F7779"/>
    <w:rsid w:val="2F773072"/>
    <w:rsid w:val="2F7B3F3E"/>
    <w:rsid w:val="30C13076"/>
    <w:rsid w:val="31054754"/>
    <w:rsid w:val="31B05648"/>
    <w:rsid w:val="31E33F00"/>
    <w:rsid w:val="31FB27D7"/>
    <w:rsid w:val="32281128"/>
    <w:rsid w:val="32626C61"/>
    <w:rsid w:val="32A02C6A"/>
    <w:rsid w:val="34124EB2"/>
    <w:rsid w:val="3430030F"/>
    <w:rsid w:val="34421C31"/>
    <w:rsid w:val="34CE02D3"/>
    <w:rsid w:val="350A2E4E"/>
    <w:rsid w:val="3513710C"/>
    <w:rsid w:val="35B64254"/>
    <w:rsid w:val="35D12373"/>
    <w:rsid w:val="36424D84"/>
    <w:rsid w:val="36737C0F"/>
    <w:rsid w:val="3687025F"/>
    <w:rsid w:val="36EA5B6E"/>
    <w:rsid w:val="37842E2D"/>
    <w:rsid w:val="379A0D50"/>
    <w:rsid w:val="37A93457"/>
    <w:rsid w:val="387C6C93"/>
    <w:rsid w:val="38D00CC5"/>
    <w:rsid w:val="395F7102"/>
    <w:rsid w:val="39632B3D"/>
    <w:rsid w:val="39E43912"/>
    <w:rsid w:val="3A021F49"/>
    <w:rsid w:val="3A18210B"/>
    <w:rsid w:val="3AE1361D"/>
    <w:rsid w:val="3B914DE4"/>
    <w:rsid w:val="3C370D5C"/>
    <w:rsid w:val="3D3E654E"/>
    <w:rsid w:val="3D642AD9"/>
    <w:rsid w:val="3D8362BC"/>
    <w:rsid w:val="3DDE1ABF"/>
    <w:rsid w:val="3E762A85"/>
    <w:rsid w:val="3E7E3208"/>
    <w:rsid w:val="3E9E4B5F"/>
    <w:rsid w:val="3EBD1872"/>
    <w:rsid w:val="3F0C5C23"/>
    <w:rsid w:val="3F464A73"/>
    <w:rsid w:val="3F4C6ABE"/>
    <w:rsid w:val="3F6301F5"/>
    <w:rsid w:val="3F6A0974"/>
    <w:rsid w:val="3F6E0848"/>
    <w:rsid w:val="3F745407"/>
    <w:rsid w:val="40084497"/>
    <w:rsid w:val="404F2557"/>
    <w:rsid w:val="40F110A5"/>
    <w:rsid w:val="410119D6"/>
    <w:rsid w:val="42952DFF"/>
    <w:rsid w:val="42EB51C1"/>
    <w:rsid w:val="42F34EBD"/>
    <w:rsid w:val="43B71DFF"/>
    <w:rsid w:val="44B62CB8"/>
    <w:rsid w:val="451E6825"/>
    <w:rsid w:val="46581115"/>
    <w:rsid w:val="466711E5"/>
    <w:rsid w:val="468E0519"/>
    <w:rsid w:val="46AC70C8"/>
    <w:rsid w:val="46C56654"/>
    <w:rsid w:val="46D90ABE"/>
    <w:rsid w:val="46DF5AB8"/>
    <w:rsid w:val="46F84B92"/>
    <w:rsid w:val="4753720A"/>
    <w:rsid w:val="47B57B96"/>
    <w:rsid w:val="47FB1D49"/>
    <w:rsid w:val="484E49CF"/>
    <w:rsid w:val="4900058E"/>
    <w:rsid w:val="49381071"/>
    <w:rsid w:val="4AEC406E"/>
    <w:rsid w:val="4B146099"/>
    <w:rsid w:val="4B404981"/>
    <w:rsid w:val="4B860C50"/>
    <w:rsid w:val="4BC71F55"/>
    <w:rsid w:val="4C9E3B7A"/>
    <w:rsid w:val="4CCE0B6D"/>
    <w:rsid w:val="4D0C28C4"/>
    <w:rsid w:val="4DAB0294"/>
    <w:rsid w:val="4E1D1867"/>
    <w:rsid w:val="4EAC4DA6"/>
    <w:rsid w:val="4F005565"/>
    <w:rsid w:val="4F0E144F"/>
    <w:rsid w:val="4F1E59C0"/>
    <w:rsid w:val="4F485FC3"/>
    <w:rsid w:val="4F6D618B"/>
    <w:rsid w:val="4F862056"/>
    <w:rsid w:val="4FBC1456"/>
    <w:rsid w:val="50390F66"/>
    <w:rsid w:val="51381AC1"/>
    <w:rsid w:val="51762AEE"/>
    <w:rsid w:val="518219C7"/>
    <w:rsid w:val="51CA2669"/>
    <w:rsid w:val="52D010DE"/>
    <w:rsid w:val="530C0B1B"/>
    <w:rsid w:val="5331675D"/>
    <w:rsid w:val="54032BE8"/>
    <w:rsid w:val="540551DE"/>
    <w:rsid w:val="543D1CD8"/>
    <w:rsid w:val="54D13EBC"/>
    <w:rsid w:val="54E60C06"/>
    <w:rsid w:val="54F16BC9"/>
    <w:rsid w:val="55765982"/>
    <w:rsid w:val="558A1E61"/>
    <w:rsid w:val="55C975BB"/>
    <w:rsid w:val="55FC2D0F"/>
    <w:rsid w:val="56160AC4"/>
    <w:rsid w:val="56C440E6"/>
    <w:rsid w:val="572B04AD"/>
    <w:rsid w:val="5860672D"/>
    <w:rsid w:val="586734D3"/>
    <w:rsid w:val="58F93FE8"/>
    <w:rsid w:val="593E3406"/>
    <w:rsid w:val="59633A07"/>
    <w:rsid w:val="59746691"/>
    <w:rsid w:val="597773A5"/>
    <w:rsid w:val="597A3ED7"/>
    <w:rsid w:val="5A0F7CF9"/>
    <w:rsid w:val="5AE43CC5"/>
    <w:rsid w:val="5BEB3EF2"/>
    <w:rsid w:val="5C487C78"/>
    <w:rsid w:val="5CA07A97"/>
    <w:rsid w:val="5D043384"/>
    <w:rsid w:val="5D1C01AF"/>
    <w:rsid w:val="5D2D5D9D"/>
    <w:rsid w:val="5D8A6083"/>
    <w:rsid w:val="5DCE58F2"/>
    <w:rsid w:val="5DD62357"/>
    <w:rsid w:val="5E6A56B6"/>
    <w:rsid w:val="5E7303CB"/>
    <w:rsid w:val="603863F0"/>
    <w:rsid w:val="605849BF"/>
    <w:rsid w:val="60892F41"/>
    <w:rsid w:val="609A12F1"/>
    <w:rsid w:val="60A364E6"/>
    <w:rsid w:val="60DB2B68"/>
    <w:rsid w:val="6113030D"/>
    <w:rsid w:val="61BA031A"/>
    <w:rsid w:val="61C7423C"/>
    <w:rsid w:val="629114D1"/>
    <w:rsid w:val="633F71E8"/>
    <w:rsid w:val="634D2A75"/>
    <w:rsid w:val="63B71897"/>
    <w:rsid w:val="64207CFD"/>
    <w:rsid w:val="64900D6E"/>
    <w:rsid w:val="64A66197"/>
    <w:rsid w:val="64ED16D9"/>
    <w:rsid w:val="64F62DB2"/>
    <w:rsid w:val="65FBE2E4"/>
    <w:rsid w:val="66033A7B"/>
    <w:rsid w:val="66683674"/>
    <w:rsid w:val="66C60E3F"/>
    <w:rsid w:val="66EB60E9"/>
    <w:rsid w:val="673E2190"/>
    <w:rsid w:val="676B0588"/>
    <w:rsid w:val="67721777"/>
    <w:rsid w:val="68324798"/>
    <w:rsid w:val="68652D73"/>
    <w:rsid w:val="68653B68"/>
    <w:rsid w:val="68B8655E"/>
    <w:rsid w:val="69A31BE4"/>
    <w:rsid w:val="6A3416A8"/>
    <w:rsid w:val="6C6A7869"/>
    <w:rsid w:val="6C8E589F"/>
    <w:rsid w:val="6D9B158F"/>
    <w:rsid w:val="6EB072A6"/>
    <w:rsid w:val="6EBC18A9"/>
    <w:rsid w:val="6EFD5FAC"/>
    <w:rsid w:val="6F0C2711"/>
    <w:rsid w:val="6F6E4FAC"/>
    <w:rsid w:val="6F890B1A"/>
    <w:rsid w:val="70C269D0"/>
    <w:rsid w:val="710B074B"/>
    <w:rsid w:val="710D6FDF"/>
    <w:rsid w:val="71283836"/>
    <w:rsid w:val="717405BF"/>
    <w:rsid w:val="71AF49AC"/>
    <w:rsid w:val="71E906CF"/>
    <w:rsid w:val="728672AA"/>
    <w:rsid w:val="72921A13"/>
    <w:rsid w:val="72CF4806"/>
    <w:rsid w:val="72E15C68"/>
    <w:rsid w:val="73843BC3"/>
    <w:rsid w:val="7389665F"/>
    <w:rsid w:val="73A31DEF"/>
    <w:rsid w:val="73C30951"/>
    <w:rsid w:val="74705357"/>
    <w:rsid w:val="748638E0"/>
    <w:rsid w:val="74D20C18"/>
    <w:rsid w:val="74D74B52"/>
    <w:rsid w:val="75487AC7"/>
    <w:rsid w:val="755B6C00"/>
    <w:rsid w:val="757535C5"/>
    <w:rsid w:val="75EF1079"/>
    <w:rsid w:val="75FF9075"/>
    <w:rsid w:val="76755F27"/>
    <w:rsid w:val="77E85332"/>
    <w:rsid w:val="78F71711"/>
    <w:rsid w:val="793D711A"/>
    <w:rsid w:val="797E7615"/>
    <w:rsid w:val="798B0C07"/>
    <w:rsid w:val="79E97DC5"/>
    <w:rsid w:val="7A2E4471"/>
    <w:rsid w:val="7AA96446"/>
    <w:rsid w:val="7B095625"/>
    <w:rsid w:val="7B390A72"/>
    <w:rsid w:val="7C6018CD"/>
    <w:rsid w:val="7C907B6C"/>
    <w:rsid w:val="7CA2186F"/>
    <w:rsid w:val="7D8A3FB2"/>
    <w:rsid w:val="7DF01A9A"/>
    <w:rsid w:val="7DF3C2CE"/>
    <w:rsid w:val="7E100BD1"/>
    <w:rsid w:val="7F6645BA"/>
    <w:rsid w:val="7FFC5801"/>
    <w:rsid w:val="9ADB649F"/>
    <w:rsid w:val="9F565DFC"/>
    <w:rsid w:val="F3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D94131A5-A8B9-4C04-960E-632C4A28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580" w:lineRule="exact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line="640" w:lineRule="exact"/>
      <w:jc w:val="center"/>
      <w:outlineLvl w:val="0"/>
    </w:pPr>
    <w:rPr>
      <w:rFonts w:ascii="Calibri" w:eastAsia="华康简标题宋" w:hAnsi="Calibri"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line="240" w:lineRule="auto"/>
    </w:pPr>
    <w:rPr>
      <w:rFonts w:eastAsia="宋体"/>
      <w:sz w:val="30"/>
      <w:szCs w:val="24"/>
    </w:rPr>
  </w:style>
  <w:style w:type="paragraph" w:styleId="a4">
    <w:name w:val="Normal Indent"/>
    <w:basedOn w:val="a"/>
    <w:pPr>
      <w:spacing w:line="240" w:lineRule="auto"/>
      <w:ind w:firstLineChars="200" w:firstLine="420"/>
    </w:pPr>
    <w:rPr>
      <w:rFonts w:eastAsia="宋体"/>
      <w:kern w:val="10"/>
      <w:sz w:val="21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pPr>
      <w:jc w:val="left"/>
    </w:pPr>
  </w:style>
  <w:style w:type="paragraph" w:styleId="3">
    <w:name w:val="Body Text 3"/>
    <w:basedOn w:val="a"/>
    <w:pPr>
      <w:jc w:val="left"/>
    </w:pPr>
    <w:rPr>
      <w:rFonts w:ascii="仿宋_GB2312"/>
      <w:color w:val="000000"/>
      <w:sz w:val="28"/>
    </w:rPr>
  </w:style>
  <w:style w:type="paragraph" w:styleId="a7">
    <w:name w:val="Body Text Indent"/>
    <w:basedOn w:val="a"/>
    <w:next w:val="a8"/>
    <w:link w:val="Char"/>
    <w:pPr>
      <w:spacing w:line="240" w:lineRule="auto"/>
      <w:ind w:firstLine="645"/>
    </w:pPr>
    <w:rPr>
      <w:rFonts w:ascii="仿宋_GB2312"/>
      <w:b/>
    </w:rPr>
  </w:style>
  <w:style w:type="character" w:customStyle="1" w:styleId="Char">
    <w:name w:val="正文文本缩进 Char"/>
    <w:link w:val="a7"/>
    <w:rPr>
      <w:rFonts w:ascii="仿宋_GB2312" w:eastAsia="仿宋_GB2312"/>
      <w:b/>
      <w:kern w:val="2"/>
      <w:sz w:val="32"/>
      <w:lang w:val="en-US" w:eastAsia="zh-CN" w:bidi="ar-SA"/>
    </w:rPr>
  </w:style>
  <w:style w:type="paragraph" w:styleId="a8">
    <w:name w:val="footer"/>
    <w:basedOn w:val="a"/>
    <w:next w:val="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9">
    <w:name w:val="Plain Text"/>
    <w:basedOn w:val="a"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paragraph" w:styleId="aa">
    <w:name w:val="Date"/>
    <w:basedOn w:val="a"/>
    <w:next w:val="a"/>
    <w:pPr>
      <w:spacing w:line="240" w:lineRule="auto"/>
      <w:ind w:leftChars="2500" w:left="100"/>
    </w:pPr>
    <w:rPr>
      <w:rFonts w:ascii="仿宋_GB2312"/>
      <w:sz w:val="30"/>
      <w:szCs w:val="24"/>
    </w:rPr>
  </w:style>
  <w:style w:type="paragraph" w:styleId="20">
    <w:name w:val="Body Text Indent 2"/>
    <w:basedOn w:val="a"/>
    <w:pPr>
      <w:spacing w:line="240" w:lineRule="auto"/>
      <w:ind w:rightChars="183" w:right="384" w:firstLineChars="199" w:firstLine="637"/>
    </w:pPr>
    <w:rPr>
      <w:szCs w:val="24"/>
    </w:rPr>
  </w:style>
  <w:style w:type="paragraph" w:styleId="ab">
    <w:name w:val="Balloon Text"/>
    <w:basedOn w:val="a"/>
    <w:semiHidden/>
    <w:pPr>
      <w:spacing w:line="240" w:lineRule="auto"/>
    </w:pPr>
    <w:rPr>
      <w:rFonts w:eastAsia="宋体"/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0">
    <w:name w:val="Body Text Indent 3"/>
    <w:basedOn w:val="a"/>
    <w:pPr>
      <w:spacing w:line="240" w:lineRule="auto"/>
      <w:ind w:firstLineChars="200" w:firstLine="480"/>
    </w:pPr>
    <w:rPr>
      <w:rFonts w:eastAsia="宋体"/>
      <w:sz w:val="24"/>
    </w:rPr>
  </w:style>
  <w:style w:type="paragraph" w:styleId="21">
    <w:name w:val="Body Text 2"/>
    <w:basedOn w:val="a"/>
    <w:pPr>
      <w:jc w:val="center"/>
    </w:pPr>
    <w:rPr>
      <w:rFonts w:ascii="华康简标题宋" w:eastAsia="华康简标题宋"/>
      <w:sz w:val="4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黑体" w:eastAsia="黑体" w:hAnsi="Courier New" w:cs="Courier New"/>
      <w:kern w:val="0"/>
      <w:sz w:val="20"/>
    </w:rPr>
  </w:style>
  <w:style w:type="paragraph" w:styleId="ad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  <w:szCs w:val="24"/>
    </w:rPr>
  </w:style>
  <w:style w:type="paragraph" w:styleId="ae">
    <w:name w:val="Body Text First Indent"/>
    <w:pPr>
      <w:widowControl w:val="0"/>
      <w:spacing w:after="120"/>
      <w:ind w:firstLineChars="100" w:firstLine="420"/>
      <w:jc w:val="both"/>
    </w:pPr>
    <w:rPr>
      <w:rFonts w:ascii="Calibri" w:hAnsi="Calibri"/>
      <w:kern w:val="2"/>
      <w:sz w:val="32"/>
    </w:rPr>
  </w:style>
  <w:style w:type="paragraph" w:styleId="22">
    <w:name w:val="Body Text First Indent 2"/>
    <w:pPr>
      <w:widowControl w:val="0"/>
      <w:spacing w:after="120"/>
      <w:ind w:leftChars="200" w:left="420" w:firstLineChars="200" w:firstLine="420"/>
      <w:jc w:val="both"/>
    </w:pPr>
    <w:rPr>
      <w:rFonts w:ascii="Calibri" w:hAnsi="Calibri" w:cs="黑体"/>
      <w:kern w:val="2"/>
      <w:sz w:val="21"/>
      <w:szCs w:val="22"/>
    </w:rPr>
  </w:style>
  <w:style w:type="table" w:styleId="af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</w:rPr>
  </w:style>
  <w:style w:type="character" w:styleId="af1">
    <w:name w:val="page number"/>
  </w:style>
  <w:style w:type="character" w:styleId="af2">
    <w:name w:val="Hyperlink"/>
    <w:rPr>
      <w:color w:val="0000FF"/>
      <w:u w:val="single"/>
    </w:rPr>
  </w:style>
  <w:style w:type="character" w:customStyle="1" w:styleId="zt5">
    <w:name w:val="zt5"/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paragraph" w:customStyle="1" w:styleId="char0">
    <w:name w:val="char"/>
    <w:basedOn w:val="a"/>
    <w:pPr>
      <w:widowControl/>
      <w:spacing w:after="160" w:line="240" w:lineRule="exact"/>
      <w:jc w:val="left"/>
    </w:pPr>
    <w:rPr>
      <w:rFonts w:ascii="Verdana" w:hAnsi="Verdana" w:cs="”“Times New Roman”“"/>
      <w:kern w:val="0"/>
      <w:sz w:val="24"/>
      <w:lang w:eastAsia="en-US"/>
    </w:rPr>
  </w:style>
  <w:style w:type="paragraph" w:customStyle="1" w:styleId="CharCharCharChar">
    <w:name w:val="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af3">
    <w:name w:val="第二层"/>
    <w:basedOn w:val="a"/>
    <w:pPr>
      <w:spacing w:line="240" w:lineRule="auto"/>
    </w:pPr>
    <w:rPr>
      <w:rFonts w:ascii="宋体" w:eastAsia="黑体" w:hAnsi="宋体" w:cs="宋体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40"/>
      <w:szCs w:val="4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CharCharCharChar0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xl34">
    <w:name w:val="xl34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Char1CharCharChar">
    <w:name w:val=" Char1 Char Char Char"/>
    <w:basedOn w:val="a"/>
    <w:rPr>
      <w:sz w:val="30"/>
      <w:szCs w:val="24"/>
    </w:rPr>
  </w:style>
  <w:style w:type="paragraph" w:customStyle="1" w:styleId="Char1CharCharCharCharCharChar">
    <w:name w:val="Char1 Char Char Char Char Char Char"/>
    <w:basedOn w:val="a"/>
    <w:pPr>
      <w:spacing w:line="240" w:lineRule="auto"/>
    </w:pPr>
    <w:rPr>
      <w:rFonts w:ascii="Tahoma" w:eastAsia="宋体" w:hAnsi="Tahoma"/>
      <w:sz w:val="24"/>
    </w:rPr>
  </w:style>
  <w:style w:type="paragraph" w:customStyle="1" w:styleId="xl33">
    <w:name w:val="xl33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xl39">
    <w:name w:val="xl39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b/>
      <w:bCs/>
      <w:kern w:val="0"/>
      <w:sz w:val="40"/>
      <w:szCs w:val="40"/>
    </w:rPr>
  </w:style>
  <w:style w:type="paragraph" w:customStyle="1" w:styleId="xl35">
    <w:name w:val="xl35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/>
      <w:kern w:val="0"/>
      <w:sz w:val="22"/>
      <w:szCs w:val="22"/>
    </w:rPr>
  </w:style>
  <w:style w:type="paragraph" w:customStyle="1" w:styleId="p0">
    <w:name w:val="p0"/>
    <w:basedOn w:val="a"/>
    <w:pPr>
      <w:widowControl/>
      <w:spacing w:line="580" w:lineRule="atLeast"/>
    </w:pPr>
    <w:rPr>
      <w:rFonts w:eastAsia="宋体"/>
      <w:kern w:val="0"/>
      <w:szCs w:val="32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Char1">
    <w:name w:val=" Char"/>
    <w:basedOn w:val="a5"/>
    <w:pPr>
      <w:spacing w:line="240" w:lineRule="auto"/>
    </w:pPr>
    <w:rPr>
      <w:rFonts w:ascii="Tahoma" w:eastAsia="宋体" w:hAnsi="Tahoma"/>
      <w:sz w:val="24"/>
      <w:szCs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kern w:val="0"/>
      <w:sz w:val="22"/>
      <w:szCs w:val="22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 w:line="240" w:lineRule="auto"/>
      <w:jc w:val="left"/>
      <w:textAlignment w:val="top"/>
    </w:pPr>
    <w:rPr>
      <w:rFonts w:ascii="仿宋_GB2312" w:hAnsi="宋体" w:hint="eastAsia"/>
      <w:kern w:val="0"/>
      <w:sz w:val="22"/>
      <w:szCs w:val="22"/>
    </w:rPr>
  </w:style>
  <w:style w:type="paragraph" w:customStyle="1" w:styleId="xl38">
    <w:name w:val="xl38"/>
    <w:basedOn w:val="a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b/>
      <w:bCs/>
      <w:kern w:val="0"/>
      <w:sz w:val="40"/>
      <w:szCs w:val="40"/>
    </w:rPr>
  </w:style>
  <w:style w:type="paragraph" w:customStyle="1" w:styleId="GB231207928">
    <w:name w:val="样式 (中文) 楷体_GB2312 小三 首行缩进:  0.79 厘米 行距: 固定值 28 磅"/>
    <w:basedOn w:val="a"/>
    <w:pPr>
      <w:spacing w:line="560" w:lineRule="exact"/>
      <w:ind w:firstLine="450"/>
    </w:pPr>
    <w:rPr>
      <w:rFonts w:eastAsia="楷体_GB2312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kern w:val="0"/>
      <w:sz w:val="40"/>
      <w:szCs w:val="4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  <w:jc w:val="left"/>
    </w:pPr>
    <w:rPr>
      <w:rFonts w:eastAsia="宋体"/>
      <w:kern w:val="0"/>
      <w:sz w:val="22"/>
      <w:szCs w:val="22"/>
    </w:rPr>
  </w:style>
  <w:style w:type="paragraph" w:customStyle="1" w:styleId="xl25">
    <w:name w:val="xl25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Char2">
    <w:name w:val="Char"/>
    <w:basedOn w:val="a5"/>
    <w:pPr>
      <w:spacing w:line="240" w:lineRule="auto"/>
    </w:pPr>
    <w:rPr>
      <w:rFonts w:ascii="Tahoma" w:eastAsia="宋体" w:hAnsi="Tahoma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hint="eastAsi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541</Words>
  <Characters>3086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Win10_64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国粮发[2000]32号</dc:title>
  <dc:subject/>
  <dc:creator>赵绘图</dc:creator>
  <cp:keywords/>
  <dc:description/>
  <cp:lastModifiedBy>Microsoft 帐户</cp:lastModifiedBy>
  <cp:revision>2</cp:revision>
  <cp:lastPrinted>2021-02-09T08:11:00Z</cp:lastPrinted>
  <dcterms:created xsi:type="dcterms:W3CDTF">2021-11-18T05:46:00Z</dcterms:created>
  <dcterms:modified xsi:type="dcterms:W3CDTF">2021-11-18T05:46:00Z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1CC6266478D44EAA83E8756D4A725FEA</vt:lpwstr>
  </property>
</Properties>
</file>