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64C51">
      <w:pPr>
        <w:rPr>
          <w:rFonts w:ascii="黑体" w:eastAsia="黑体" w:hAnsi="黑体" w:cs="黑体" w:hint="eastAsia"/>
          <w:color w:val="000000"/>
          <w:szCs w:val="32"/>
        </w:rPr>
      </w:pPr>
      <w:bookmarkStart w:id="0" w:name="_Toc10448"/>
      <w:r>
        <w:rPr>
          <w:rFonts w:ascii="黑体" w:eastAsia="黑体" w:hAnsi="黑体" w:cs="黑体" w:hint="eastAsia"/>
          <w:color w:val="000000"/>
          <w:szCs w:val="32"/>
        </w:rPr>
        <w:t>附件</w:t>
      </w:r>
      <w:r>
        <w:rPr>
          <w:rFonts w:ascii="黑体" w:eastAsia="黑体" w:hAnsi="黑体" w:cs="黑体" w:hint="eastAsia"/>
          <w:color w:val="000000"/>
          <w:szCs w:val="32"/>
        </w:rPr>
        <w:t>1</w:t>
      </w:r>
    </w:p>
    <w:p w:rsidR="00000000" w:rsidRDefault="00664C51">
      <w:pPr>
        <w:pStyle w:val="a0"/>
        <w:spacing w:line="580" w:lineRule="exact"/>
        <w:jc w:val="center"/>
        <w:rPr>
          <w:rFonts w:hint="eastAsia"/>
          <w:sz w:val="44"/>
          <w:szCs w:val="44"/>
        </w:rPr>
      </w:pPr>
    </w:p>
    <w:p w:rsidR="00000000" w:rsidRDefault="00664C51">
      <w:pPr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1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粮食绿色仓储提升行动方案</w:t>
      </w:r>
      <w:bookmarkEnd w:id="0"/>
      <w:bookmarkEnd w:id="1"/>
    </w:p>
    <w:p w:rsidR="00000000" w:rsidRDefault="00664C51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试行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）</w:t>
      </w:r>
    </w:p>
    <w:p w:rsidR="00000000" w:rsidRDefault="00664C51">
      <w:pPr>
        <w:pStyle w:val="a0"/>
        <w:spacing w:line="580" w:lineRule="exact"/>
        <w:jc w:val="center"/>
        <w:rPr>
          <w:color w:val="000000"/>
          <w:sz w:val="36"/>
          <w:szCs w:val="36"/>
        </w:rPr>
      </w:pPr>
    </w:p>
    <w:p w:rsidR="00000000" w:rsidRDefault="00664C51">
      <w:pPr>
        <w:ind w:firstLineChars="200" w:firstLine="660"/>
        <w:rPr>
          <w:rFonts w:ascii="仿宋_GB2312" w:hAnsi="仿宋_GB2312" w:cs="仿宋_GB2312"/>
          <w:bCs/>
          <w:color w:val="000000"/>
          <w:spacing w:val="5"/>
          <w:szCs w:val="32"/>
        </w:rPr>
      </w:pPr>
      <w:r>
        <w:rPr>
          <w:rFonts w:ascii="仿宋_GB2312" w:hAnsi="仿宋_GB2312" w:cs="仿宋_GB2312" w:hint="eastAsia"/>
          <w:spacing w:val="5"/>
          <w:szCs w:val="32"/>
        </w:rPr>
        <w:t>为深入贯彻习近平总书记关于深入推进优质粮食工程、做好粮食市场和流通文章的重要指示精神，认真落实党中央、国务院有关决策部署，抓好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财政部、国家粮食和物资储备局《关于深入推进优质粮食工程的意见》（财建〔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2021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〕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177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号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以下简称《意见》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）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落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地见效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，现制定粮食绿色仓储提升行动方案。</w:t>
      </w:r>
    </w:p>
    <w:p w:rsidR="00000000" w:rsidRDefault="00664C51">
      <w:pPr>
        <w:ind w:firstLineChars="200" w:firstLine="660"/>
        <w:rPr>
          <w:rFonts w:ascii="黑体" w:eastAsia="黑体" w:hAnsi="黑体"/>
          <w:bCs/>
          <w:color w:val="000000"/>
          <w:spacing w:val="5"/>
          <w:szCs w:val="32"/>
        </w:rPr>
      </w:pPr>
      <w:r>
        <w:rPr>
          <w:rFonts w:ascii="黑体" w:eastAsia="黑体" w:hAnsi="黑体" w:hint="eastAsia"/>
          <w:bCs/>
          <w:color w:val="000000"/>
          <w:spacing w:val="5"/>
          <w:szCs w:val="32"/>
        </w:rPr>
        <w:t>一、总体要求</w:t>
      </w:r>
    </w:p>
    <w:p w:rsidR="00000000" w:rsidRDefault="00664C51">
      <w:pPr>
        <w:ind w:firstLineChars="200" w:firstLine="660"/>
        <w:rPr>
          <w:rFonts w:ascii="仿宋_GB2312" w:hAnsi="仿宋_GB2312" w:cs="仿宋_GB2312"/>
          <w:bCs/>
          <w:strike/>
          <w:color w:val="000000"/>
          <w:spacing w:val="5"/>
          <w:szCs w:val="32"/>
        </w:rPr>
      </w:pP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以习近平新时代中国特色社会主义思想为指导，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深入落实保障国家粮食安全战略，紧扣绿色、生态、环保、节能要求，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聚焦国家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粮食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储备安全核心职能，以绿色仓储为抓手，</w:t>
      </w:r>
      <w:r>
        <w:rPr>
          <w:rFonts w:ascii="仿宋_GB2312" w:hAnsi="仿宋_GB2312" w:cs="仿宋_GB2312" w:hint="eastAsia"/>
          <w:color w:val="000000"/>
          <w:spacing w:val="5"/>
          <w:szCs w:val="32"/>
          <w:lang w:val="en"/>
        </w:rPr>
        <w:t>深入推进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优质粮食工程</w:t>
      </w:r>
      <w:r>
        <w:rPr>
          <w:rFonts w:ascii="仿宋_GB2312" w:hAnsi="仿宋_GB2312" w:cs="仿宋_GB2312" w:hint="eastAsia"/>
          <w:color w:val="000000"/>
          <w:spacing w:val="5"/>
          <w:szCs w:val="32"/>
          <w:lang w:val="en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持续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提高科学储粮水平和品质保障能力，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切实提升储备粮质量，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增加绿色优质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粮油产品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有效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供给，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着力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推动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粮食储备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高质量发展，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更好保障国家粮食安全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bCs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5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突出质效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、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功用适配。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推广应用绿色储粮技术，全面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提升仓储设施的储藏功效性能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，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加强储备环节精细化管理。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根据储备、收纳、中转、备料等不同用途，合理选择仓房及工艺配置，优化仓型构成和仓廒设置，提高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粮食整体存储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质量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，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利于“长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储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长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新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”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5"/>
          <w:szCs w:val="32"/>
        </w:rPr>
        <w:lastRenderedPageBreak/>
        <w:t>（</w:t>
      </w:r>
      <w:r>
        <w:rPr>
          <w:rFonts w:ascii="楷体_GB2312" w:eastAsia="楷体_GB2312" w:hAnsi="楷体_GB2312" w:cs="楷体_GB2312" w:hint="eastAsia"/>
          <w:b/>
          <w:bCs/>
          <w:color w:val="000000"/>
          <w:spacing w:val="5"/>
          <w:szCs w:val="32"/>
        </w:rPr>
        <w:t>二</w:t>
      </w:r>
      <w:r>
        <w:rPr>
          <w:rFonts w:ascii="楷体_GB2312" w:eastAsia="楷体_GB2312" w:hAnsi="楷体_GB2312" w:cs="楷体_GB2312" w:hint="eastAsia"/>
          <w:b/>
          <w:bCs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/>
          <w:b/>
          <w:bCs/>
          <w:color w:val="000000"/>
          <w:spacing w:val="5"/>
          <w:szCs w:val="32"/>
          <w:lang w:val="en"/>
        </w:rPr>
        <w:t>绿色环保</w:t>
      </w:r>
      <w:r>
        <w:rPr>
          <w:rFonts w:ascii="楷体_GB2312" w:eastAsia="楷体_GB2312" w:hAnsi="楷体_GB2312" w:cs="楷体_GB2312" w:hint="eastAsia"/>
          <w:b/>
          <w:bCs/>
          <w:color w:val="000000"/>
          <w:spacing w:val="5"/>
          <w:szCs w:val="32"/>
        </w:rPr>
        <w:t>、</w:t>
      </w:r>
      <w:r>
        <w:rPr>
          <w:rFonts w:ascii="楷体_GB2312" w:eastAsia="楷体_GB2312" w:hAnsi="楷体_GB2312" w:cs="楷体_GB2312" w:hint="eastAsia"/>
          <w:b/>
          <w:bCs/>
          <w:color w:val="000000"/>
          <w:spacing w:val="5"/>
          <w:szCs w:val="32"/>
        </w:rPr>
        <w:t>综合防治。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实施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有害生物综合防治，综合运用粮堆生态温湿度控制、气调等技术手段，积极使用国家批准的绿色安全储粮药剂，加强整仓防护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和局部除治，探索应用物理、生物等防治方法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，实现绿色储粮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储产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联动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、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协同发展。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发挥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绿色仓储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传导作用，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推进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储备和产业衔接，在“产购储加销”体系中凸显仓储特别是政府储备仓储的核心竞争力，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发挥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好粮食仓储支点作用，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推动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仓储向两端延伸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促进</w:t>
      </w:r>
      <w:r>
        <w:rPr>
          <w:rFonts w:ascii="仿宋_GB2312" w:hAnsi="仿宋_GB2312" w:cs="仿宋_GB2312" w:hint="eastAsia"/>
          <w:color w:val="000000"/>
          <w:spacing w:val="5"/>
          <w:szCs w:val="32"/>
          <w:lang w:val="en"/>
        </w:rPr>
        <w:t>“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五优联动</w:t>
      </w:r>
      <w:r>
        <w:rPr>
          <w:rFonts w:ascii="仿宋_GB2312" w:hAnsi="仿宋_GB2312" w:cs="仿宋_GB2312" w:hint="eastAsia"/>
          <w:color w:val="000000"/>
          <w:spacing w:val="5"/>
          <w:szCs w:val="32"/>
          <w:lang w:val="en"/>
        </w:rPr>
        <w:t>”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四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分类施措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、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因地制宜。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针对南北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方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气候差异，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兼顾先进性和适用性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及</w:t>
      </w:r>
      <w:r>
        <w:rPr>
          <w:rFonts w:ascii="仿宋_GB2312" w:hAnsi="仿宋_GB2312" w:cs="仿宋_GB2312"/>
          <w:bCs/>
          <w:color w:val="000000"/>
          <w:spacing w:val="5"/>
          <w:szCs w:val="32"/>
          <w:lang w:val="en"/>
        </w:rPr>
        <w:t>节能和环保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要求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科学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合理选配应用仓储设施设备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绿色储粮技术工艺，不惟尖惟全，不照搬照抄，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着力补短板、强弱项、促升级，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注重系统增效。</w:t>
      </w:r>
    </w:p>
    <w:p w:rsidR="00000000" w:rsidRDefault="00664C51">
      <w:pPr>
        <w:ind w:firstLineChars="200" w:firstLine="660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仿宋_GB2312" w:hAnsi="仿宋_GB2312" w:cs="仿宋_GB2312" w:hint="eastAsia"/>
          <w:color w:val="000000"/>
          <w:spacing w:val="5"/>
          <w:szCs w:val="32"/>
        </w:rPr>
        <w:t>“十四五”期间，重点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升级改造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条件较好的现有储备类仓房，结合仓储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设施布局和结构优化，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加强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高标准粮仓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建设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，配备先进适用技术条件，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完善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绿色储粮功能；优化仓储作业流程，减少库区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扬尘、噪音。到</w:t>
      </w:r>
      <w:r>
        <w:rPr>
          <w:rFonts w:ascii="仿宋_GB2312" w:hAnsi="仿宋_GB2312" w:cs="仿宋_GB2312"/>
          <w:color w:val="000000"/>
          <w:spacing w:val="5"/>
          <w:szCs w:val="32"/>
        </w:rPr>
        <w:t>2025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年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力争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政府储备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基本实现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控温储藏保质保鲜、药剂使用减量增效、仓储作业环境友好。</w:t>
      </w:r>
    </w:p>
    <w:p w:rsidR="00000000" w:rsidRDefault="00664C51">
      <w:pPr>
        <w:ind w:firstLineChars="200" w:firstLine="660"/>
        <w:rPr>
          <w:rFonts w:ascii="黑体" w:eastAsia="黑体" w:hAnsi="黑体"/>
          <w:bCs/>
          <w:color w:val="000000"/>
          <w:spacing w:val="5"/>
          <w:szCs w:val="32"/>
        </w:rPr>
      </w:pPr>
      <w:r>
        <w:rPr>
          <w:rFonts w:ascii="黑体" w:eastAsia="黑体" w:hAnsi="黑体" w:hint="eastAsia"/>
          <w:bCs/>
          <w:color w:val="000000"/>
          <w:spacing w:val="5"/>
          <w:szCs w:val="32"/>
        </w:rPr>
        <w:t>二、重点任务</w:t>
      </w:r>
    </w:p>
    <w:p w:rsidR="00000000" w:rsidRDefault="00664C51">
      <w:pPr>
        <w:ind w:firstLineChars="200" w:firstLine="661"/>
        <w:rPr>
          <w:rFonts w:ascii="仿宋_GB2312" w:hAnsi="仿宋_GB2312" w:cs="仿宋_GB2312" w:hint="eastAsia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五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建设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一批高标准粮仓。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改造和新建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一批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高标准粮仓，强化粮仓的气密和保温隔热等关键性能。新建仓房屋面宜优先采用整体现浇工艺，对围护结构综合运用动静态结合方式提升保温隔热能力，有条件的可引入仓顶太阳能光伏板、新型辐射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lastRenderedPageBreak/>
        <w:t>制冷材料等。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落实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碳达峰、碳中和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要求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升级改造和技术应用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要注重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节能减排，降低能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耗、提高效能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  <w:lang w:val="en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六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改造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提升仓房的气密和保温隔热性能。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加强对粮仓相关性能衰减变化情况的监测，对不适应绿色储粮需求的，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针对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仓顶、墙体、门窗、地面、孔洞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以及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接缝处和向阳面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等不同部位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具体情况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实施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气密和保温隔热升级改造。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按</w:t>
      </w:r>
      <w:r>
        <w:rPr>
          <w:rFonts w:ascii="仿宋_GB2312" w:hAnsi="仿宋_GB2312" w:cs="仿宋_GB2312" w:hint="eastAsia"/>
          <w:color w:val="000000"/>
          <w:spacing w:val="5"/>
          <w:szCs w:val="32"/>
          <w:lang w:val="en"/>
        </w:rPr>
        <w:t>绿色储粮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要求，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提升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粮食企业现有仓储设施</w:t>
      </w:r>
      <w:r>
        <w:rPr>
          <w:rFonts w:ascii="仿宋_GB2312" w:hAnsi="仿宋_GB2312" w:cs="仿宋_GB2312" w:hint="eastAsia"/>
          <w:color w:val="000000"/>
          <w:spacing w:val="5"/>
          <w:szCs w:val="32"/>
          <w:lang w:val="en"/>
        </w:rPr>
        <w:t>性能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，升级改造控温成品粮</w:t>
      </w:r>
      <w:r>
        <w:rPr>
          <w:rFonts w:ascii="仿宋_GB2312" w:hAnsi="仿宋_GB2312" w:cs="仿宋_GB2312" w:hint="eastAsia"/>
          <w:color w:val="000000"/>
          <w:spacing w:val="5"/>
          <w:szCs w:val="32"/>
          <w:lang w:val="en"/>
        </w:rPr>
        <w:t>仓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  <w:lang w:val="en"/>
        </w:rPr>
      </w:pP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（七）推广应用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绿色储粮技术。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我国地域广阔，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总体上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北方气温低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干燥，南方气温高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湿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润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自然条件差异对粮食储藏影响较大。因地制宜选配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适用绿色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储粮技术，既要考虑不同储粮生态区的因素，也要兼顾大生态区中小生态区的特点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根据当地和企业情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况及实际需要，充分利用自然条件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合理选择应用制冷控温、内环流控温、气调储粮和平房仓横向通风集成等技术，注重成本效益，优化“四合一”储粮技术应用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实现政府储备粮食绿色仓储全覆盖。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充分发挥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政策引导和市场机制作用，加强储粮新技术、新工艺、新材料、新仓型的研发试验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、开展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适用性研究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和推广应用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八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）发展多参数多功能粮情测控系统。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积极应用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传感器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技术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，从原来单一的粮温检测向温度、湿度、水分、害虫、霉菌、气体等多参数多功能在线粮情测控转变，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加强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粮情数据的多样化、自动化采集和中长期积累。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鼓励粮食企业应用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基于粮堆货位的粮情监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测预警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模型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完善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动态实时智能监测功能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探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lastRenderedPageBreak/>
        <w:t>索建立平台型远程粮情诊断系统。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九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）提升清理净粮能力。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针对粮库仓储作业扬尘、噪音等问题，对装卸、输送、清理等采取防尘和降噪措施，优化接发和清理工艺，提升设备性能和效率，推动环保高效作业。鼓励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粮食产后服务中心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拓宽产后服务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范围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，提供深度清理净粮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服务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，探索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开展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烘干、清杂、除尘、杀虫一站式社会化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专业化服务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做到粮食充分除尘清杂后再入仓，更好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满足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粮库收储需要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十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）推动粮仓分类分级。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顺应粮食仓储专业化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精细化管理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的新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要求，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服务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粮食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储备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安全和产业发展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，避免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仓型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错配错用造成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资源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浪费或危及储存安全。制订粮仓分类分级标准，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推动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低温准低温储藏、参数控制自动通风、气调储粮、人工制冷控制粮温等技术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应用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，促进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绿色仓储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规范化管理。根据仓储设施结构、材料及性能和配备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的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粮情测控、通风、杀虫、制冷等</w:t>
      </w:r>
      <w:r>
        <w:rPr>
          <w:rFonts w:ascii="仿宋_GB2312" w:hAnsi="仿宋_GB2312" w:cs="仿宋_GB2312" w:hint="eastAsia"/>
          <w:spacing w:val="5"/>
          <w:szCs w:val="32"/>
        </w:rPr>
        <w:t>储粮工艺技术级差，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开展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粮仓科学评价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提高储粮效能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0"/>
        <w:rPr>
          <w:rFonts w:ascii="黑体" w:eastAsia="黑体" w:hAnsi="黑体"/>
          <w:bCs/>
          <w:color w:val="000000"/>
          <w:spacing w:val="5"/>
          <w:szCs w:val="32"/>
        </w:rPr>
      </w:pPr>
      <w:r>
        <w:rPr>
          <w:rFonts w:ascii="黑体" w:eastAsia="黑体" w:hAnsi="黑体" w:hint="eastAsia"/>
          <w:bCs/>
          <w:color w:val="000000"/>
          <w:spacing w:val="5"/>
          <w:szCs w:val="32"/>
        </w:rPr>
        <w:t>三、保障措施</w:t>
      </w:r>
    </w:p>
    <w:p w:rsidR="00000000" w:rsidRDefault="00664C51">
      <w:pPr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十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一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）突出政策引领。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依托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粮食等重要农产品仓储物流设施建设专项</w:t>
      </w:r>
      <w:r>
        <w:rPr>
          <w:rFonts w:ascii="仿宋_GB2312" w:hAnsi="仿宋_GB2312" w:cs="仿宋_GB2312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支持建设高标准粮仓和开展粮食绿色仓储提升行动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。各地各单位要</w:t>
      </w:r>
      <w:r>
        <w:rPr>
          <w:rFonts w:ascii="仿宋_GB2312" w:hAnsi="仿宋_GB2312" w:cs="仿宋_GB2312" w:hint="eastAsia"/>
          <w:spacing w:val="5"/>
          <w:szCs w:val="32"/>
        </w:rPr>
        <w:t>因地制宜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细化</w:t>
      </w:r>
      <w:r>
        <w:rPr>
          <w:rFonts w:ascii="仿宋_GB2312" w:hAnsi="仿宋_GB2312" w:cs="仿宋_GB2312" w:hint="eastAsia"/>
          <w:spacing w:val="5"/>
          <w:szCs w:val="32"/>
        </w:rPr>
        <w:t>落实绿色仓储</w:t>
      </w:r>
      <w:r>
        <w:rPr>
          <w:rFonts w:ascii="仿宋_GB2312" w:hAnsi="仿宋_GB2312" w:cs="仿宋_GB2312" w:hint="eastAsia"/>
          <w:spacing w:val="5"/>
          <w:szCs w:val="32"/>
        </w:rPr>
        <w:t>提升重点</w:t>
      </w:r>
      <w:r>
        <w:rPr>
          <w:rFonts w:ascii="仿宋_GB2312" w:hAnsi="仿宋_GB2312" w:cs="仿宋_GB2312" w:hint="eastAsia"/>
          <w:spacing w:val="5"/>
          <w:szCs w:val="32"/>
        </w:rPr>
        <w:t>举措，</w:t>
      </w:r>
      <w:r>
        <w:rPr>
          <w:rFonts w:ascii="仿宋_GB2312" w:hAnsi="仿宋_GB2312" w:cs="仿宋_GB2312" w:hint="eastAsia"/>
          <w:spacing w:val="5"/>
          <w:szCs w:val="32"/>
        </w:rPr>
        <w:t>推动</w:t>
      </w:r>
      <w:r>
        <w:rPr>
          <w:rFonts w:ascii="仿宋_GB2312" w:hAnsi="仿宋_GB2312" w:cs="仿宋_GB2312" w:hint="eastAsia"/>
          <w:spacing w:val="5"/>
          <w:szCs w:val="32"/>
        </w:rPr>
        <w:t>粮食</w:t>
      </w:r>
      <w:r>
        <w:rPr>
          <w:rFonts w:ascii="仿宋_GB2312" w:hAnsi="仿宋_GB2312" w:cs="仿宋_GB2312" w:hint="eastAsia"/>
          <w:spacing w:val="5"/>
          <w:szCs w:val="32"/>
          <w:lang w:val="en"/>
        </w:rPr>
        <w:t>“</w:t>
      </w:r>
      <w:r>
        <w:rPr>
          <w:rFonts w:ascii="仿宋_GB2312" w:hAnsi="仿宋_GB2312" w:cs="仿宋_GB2312" w:hint="eastAsia"/>
          <w:spacing w:val="5"/>
          <w:szCs w:val="32"/>
        </w:rPr>
        <w:t>产购储加销</w:t>
      </w:r>
      <w:r>
        <w:rPr>
          <w:rFonts w:ascii="仿宋_GB2312" w:hAnsi="仿宋_GB2312" w:cs="仿宋_GB2312" w:hint="eastAsia"/>
          <w:spacing w:val="5"/>
          <w:szCs w:val="32"/>
          <w:lang w:val="en"/>
        </w:rPr>
        <w:t>”</w:t>
      </w:r>
      <w:r>
        <w:rPr>
          <w:rFonts w:ascii="仿宋_GB2312" w:hAnsi="仿宋_GB2312" w:cs="仿宋_GB2312" w:hint="eastAsia"/>
          <w:spacing w:val="5"/>
          <w:szCs w:val="32"/>
        </w:rPr>
        <w:t>协同</w:t>
      </w:r>
      <w:r>
        <w:rPr>
          <w:rFonts w:ascii="仿宋_GB2312" w:hAnsi="仿宋_GB2312" w:cs="仿宋_GB2312" w:hint="eastAsia"/>
          <w:spacing w:val="5"/>
          <w:szCs w:val="32"/>
        </w:rPr>
        <w:t>联动，促进</w:t>
      </w:r>
      <w:r>
        <w:rPr>
          <w:rFonts w:ascii="仿宋_GB2312" w:hAnsi="仿宋_GB2312" w:cs="仿宋_GB2312" w:hint="eastAsia"/>
          <w:spacing w:val="5"/>
          <w:szCs w:val="32"/>
        </w:rPr>
        <w:t>粮食产业</w:t>
      </w:r>
      <w:r>
        <w:rPr>
          <w:rFonts w:ascii="仿宋_GB2312" w:hAnsi="仿宋_GB2312" w:cs="仿宋_GB2312" w:hint="eastAsia"/>
          <w:spacing w:val="5"/>
          <w:szCs w:val="32"/>
        </w:rPr>
        <w:t>高质量</w:t>
      </w:r>
      <w:r>
        <w:rPr>
          <w:rFonts w:ascii="仿宋_GB2312" w:hAnsi="仿宋_GB2312" w:cs="仿宋_GB2312" w:hint="eastAsia"/>
          <w:spacing w:val="5"/>
          <w:szCs w:val="32"/>
        </w:rPr>
        <w:t>发展</w:t>
      </w:r>
      <w:r>
        <w:rPr>
          <w:rFonts w:ascii="仿宋_GB2312" w:hAnsi="仿宋_GB2312" w:cs="仿宋_GB2312" w:hint="eastAsia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十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二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强化科技支撑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建立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绿色仓储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与“人才兴粮”“科技兴粮”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协同推进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机制，打造“产学研用”深度融合互动平台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lastRenderedPageBreak/>
        <w:t>加强粮食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仓储人才队伍培养，发挥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专业技能人才和科研力量作用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加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大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绿色储粮领域重点科研攻关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力度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，加快科技成果转化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推广应用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绿色仓储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技术。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十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落实资金保障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各地要认真落实《意见》要求，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统筹用好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中央财政安排的产粮大县奖励资金、粮食风险基金等，</w:t>
      </w:r>
      <w:r>
        <w:rPr>
          <w:rFonts w:ascii="仿宋_GB2312" w:hAnsi="仿宋_GB2312" w:cs="仿宋_GB2312" w:hint="eastAsia"/>
          <w:spacing w:val="5"/>
          <w:szCs w:val="32"/>
        </w:rPr>
        <w:t>谋划实施一批</w:t>
      </w:r>
      <w:r>
        <w:rPr>
          <w:rFonts w:ascii="仿宋_GB2312" w:hAnsi="仿宋_GB2312" w:cs="仿宋_GB2312" w:hint="eastAsia"/>
          <w:spacing w:val="5"/>
          <w:szCs w:val="32"/>
        </w:rPr>
        <w:t>绿色仓储</w:t>
      </w:r>
      <w:r>
        <w:rPr>
          <w:rFonts w:ascii="仿宋_GB2312" w:hAnsi="仿宋_GB2312" w:cs="仿宋_GB2312" w:hint="eastAsia"/>
          <w:spacing w:val="5"/>
          <w:szCs w:val="32"/>
        </w:rPr>
        <w:t>项目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。积极协调农业发展银行等金融机构，加大对粮食仓储企业尤其是政府储备承储企业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绿色仓储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信贷支持力度。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鼓励企业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拓宽融资渠道，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吸引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社会资本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，加大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资金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投入，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提高资金使用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效益，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不断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提升绿色储粮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水平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十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四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）完善标准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体系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执行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现行粮食仓储技术标准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的基础上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，鼓励创新探索，推动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绿色储粮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企业标准、团体标准、地方标准和行业标准、国家标准等制修订，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健全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点面结合、兼容并蓄、各有侧重的绿色储粮标准体系。</w:t>
      </w:r>
    </w:p>
    <w:p w:rsidR="00000000" w:rsidRDefault="00664C51">
      <w:pPr>
        <w:ind w:firstLineChars="200" w:firstLine="661"/>
        <w:rPr>
          <w:rFonts w:ascii="仿宋_GB2312" w:hAnsi="仿宋_GB2312" w:cs="仿宋_GB2312"/>
          <w:bCs/>
          <w:color w:val="000000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（十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五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典型示范带动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总结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推广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绿色仓储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先进经验，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培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树创新实践示范典型，促进交流互鉴。大力弘扬“大国粮仓”工匠精神，营造各方共同关注、支持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绿色仓储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的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良好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氛围。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对于积极探索并取得良好成效的，在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政策和资金支持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上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予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以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优先考虑。</w:t>
      </w:r>
    </w:p>
    <w:p w:rsidR="00000000" w:rsidRDefault="00664C51">
      <w:pPr>
        <w:ind w:firstLineChars="200" w:firstLine="661"/>
        <w:rPr>
          <w:rFonts w:hint="eastAsia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（十</w:t>
      </w:r>
      <w:r>
        <w:rPr>
          <w:rFonts w:ascii="楷体_GB2312" w:eastAsia="楷体_GB2312" w:hAnsi="楷体_GB2312" w:cs="楷体_GB2312"/>
          <w:b/>
          <w:color w:val="000000"/>
          <w:spacing w:val="5"/>
          <w:szCs w:val="32"/>
          <w:lang w:val="en"/>
        </w:rPr>
        <w:t>六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提升智能化水平</w:t>
      </w:r>
      <w:r>
        <w:rPr>
          <w:rFonts w:ascii="楷体_GB2312" w:eastAsia="楷体_GB2312" w:hAnsi="楷体_GB2312" w:cs="楷体_GB2312" w:hint="eastAsia"/>
          <w:b/>
          <w:color w:val="000000"/>
          <w:spacing w:val="5"/>
          <w:szCs w:val="32"/>
        </w:rPr>
        <w:t>。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结合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粮食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绿色仓储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</w:rPr>
        <w:t>提升行动</w:t>
      </w:r>
      <w:r>
        <w:rPr>
          <w:rFonts w:ascii="仿宋_GB2312" w:hAnsi="仿宋_GB2312" w:cs="仿宋_GB2312" w:hint="eastAsia"/>
          <w:bCs/>
          <w:color w:val="000000"/>
          <w:spacing w:val="5"/>
          <w:szCs w:val="32"/>
          <w:lang w:val="en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加快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仓储管理信息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化、智能化</w:t>
      </w:r>
      <w:r>
        <w:rPr>
          <w:rFonts w:ascii="仿宋_GB2312" w:hAnsi="仿宋_GB2312" w:cs="仿宋_GB2312"/>
          <w:color w:val="000000"/>
          <w:spacing w:val="5"/>
          <w:szCs w:val="32"/>
        </w:rPr>
        <w:t>，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推动</w:t>
      </w:r>
      <w:r>
        <w:rPr>
          <w:rFonts w:ascii="仿宋_GB2312" w:hAnsi="仿宋_GB2312" w:cs="仿宋_GB2312"/>
          <w:color w:val="000000"/>
          <w:spacing w:val="5"/>
          <w:szCs w:val="32"/>
          <w:lang w:val="en"/>
        </w:rPr>
        <w:t>粮库信息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系统</w:t>
      </w:r>
      <w:r>
        <w:rPr>
          <w:rFonts w:ascii="仿宋_GB2312" w:hAnsi="仿宋_GB2312" w:cs="仿宋_GB2312"/>
          <w:color w:val="000000"/>
          <w:spacing w:val="5"/>
          <w:szCs w:val="32"/>
        </w:rPr>
        <w:t>接入国家及省级粮食和物资储备管理平台，实现互联互通、数据自动采集与共享。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运用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大数据、云计算、区块链、人工智能等技术，使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lastRenderedPageBreak/>
        <w:t>粮情感知、分析预测、远程监控、专家诊断及相关业务数据协同处理更加系统高效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，不断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提升粮食储备管理水平</w:t>
      </w:r>
      <w:r>
        <w:rPr>
          <w:rFonts w:ascii="仿宋_GB2312" w:hAnsi="仿宋_GB2312" w:cs="仿宋_GB2312" w:hint="eastAsia"/>
          <w:color w:val="000000"/>
          <w:spacing w:val="5"/>
          <w:szCs w:val="32"/>
        </w:rPr>
        <w:t>。</w:t>
      </w: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000000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p w:rsidR="00664C51" w:rsidRDefault="00664C51">
      <w:pPr>
        <w:overflowPunct w:val="0"/>
        <w:adjustRightInd w:val="0"/>
        <w:jc w:val="left"/>
        <w:rPr>
          <w:rFonts w:ascii="黑体" w:eastAsia="黑体" w:hAnsi="黑体" w:cs="方正粗黑宋简体" w:hint="eastAsia"/>
          <w:color w:val="000000"/>
          <w:szCs w:val="32"/>
        </w:rPr>
      </w:pPr>
    </w:p>
    <w:sectPr w:rsidR="00664C51">
      <w:footerReference w:type="default" r:id="rId6"/>
      <w:pgSz w:w="11907" w:h="16840"/>
      <w:pgMar w:top="2098" w:right="1531" w:bottom="1531" w:left="1531" w:header="851" w:footer="153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51" w:rsidRDefault="00664C51">
      <w:pPr>
        <w:spacing w:line="240" w:lineRule="auto"/>
      </w:pPr>
      <w:r>
        <w:separator/>
      </w:r>
    </w:p>
  </w:endnote>
  <w:endnote w:type="continuationSeparator" w:id="0">
    <w:p w:rsidR="00664C51" w:rsidRDefault="00664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fontKey="{19EEA6C5-907A-41C7-8E4A-7362C871000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康简标题宋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885C61A-D479-4A5E-8BA8-9C2E647B8FA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3" w:fontKey="{B67258BD-1AC0-4245-92B3-F1887B9F85B9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fontKey="{1F1A284A-E12F-4DE7-B559-B7049C11B943}"/>
  </w:font>
  <w:font w:name="方正粗黑宋简体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64C51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51" w:rsidRDefault="00664C51">
      <w:pPr>
        <w:spacing w:line="240" w:lineRule="auto"/>
      </w:pPr>
      <w:r>
        <w:separator/>
      </w:r>
    </w:p>
  </w:footnote>
  <w:footnote w:type="continuationSeparator" w:id="0">
    <w:p w:rsidR="00664C51" w:rsidRDefault="00664C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320"/>
  <w:drawingGridVerticalSpacing w:val="218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087"/>
    <w:rsid w:val="000001E5"/>
    <w:rsid w:val="000158EE"/>
    <w:rsid w:val="00024088"/>
    <w:rsid w:val="00025532"/>
    <w:rsid w:val="00031B62"/>
    <w:rsid w:val="00035FB1"/>
    <w:rsid w:val="000535C4"/>
    <w:rsid w:val="0005669F"/>
    <w:rsid w:val="00062797"/>
    <w:rsid w:val="00065C59"/>
    <w:rsid w:val="000726E8"/>
    <w:rsid w:val="00083301"/>
    <w:rsid w:val="0008387E"/>
    <w:rsid w:val="00090397"/>
    <w:rsid w:val="0009557E"/>
    <w:rsid w:val="000A2858"/>
    <w:rsid w:val="000A75B9"/>
    <w:rsid w:val="000B13DD"/>
    <w:rsid w:val="000B19CE"/>
    <w:rsid w:val="000B534A"/>
    <w:rsid w:val="000C0CDF"/>
    <w:rsid w:val="000C146F"/>
    <w:rsid w:val="000C2651"/>
    <w:rsid w:val="000C3A3E"/>
    <w:rsid w:val="000C45AC"/>
    <w:rsid w:val="000C7AC8"/>
    <w:rsid w:val="000D0748"/>
    <w:rsid w:val="000D2A6F"/>
    <w:rsid w:val="000D300B"/>
    <w:rsid w:val="000D393E"/>
    <w:rsid w:val="000E1093"/>
    <w:rsid w:val="000E4B1B"/>
    <w:rsid w:val="000E71F8"/>
    <w:rsid w:val="0010377E"/>
    <w:rsid w:val="00110B1D"/>
    <w:rsid w:val="00112E5C"/>
    <w:rsid w:val="0012088E"/>
    <w:rsid w:val="00125B46"/>
    <w:rsid w:val="00130E33"/>
    <w:rsid w:val="00133694"/>
    <w:rsid w:val="00137874"/>
    <w:rsid w:val="00153D1E"/>
    <w:rsid w:val="0016629E"/>
    <w:rsid w:val="0017464D"/>
    <w:rsid w:val="00174BA4"/>
    <w:rsid w:val="00175A69"/>
    <w:rsid w:val="001806A6"/>
    <w:rsid w:val="00181594"/>
    <w:rsid w:val="00181FA0"/>
    <w:rsid w:val="00186CE7"/>
    <w:rsid w:val="001907E7"/>
    <w:rsid w:val="001A4164"/>
    <w:rsid w:val="001C4F37"/>
    <w:rsid w:val="001C5364"/>
    <w:rsid w:val="001D4264"/>
    <w:rsid w:val="001E53F2"/>
    <w:rsid w:val="00211B58"/>
    <w:rsid w:val="00212C32"/>
    <w:rsid w:val="00217DC8"/>
    <w:rsid w:val="00226EFA"/>
    <w:rsid w:val="00233FF1"/>
    <w:rsid w:val="00240AB1"/>
    <w:rsid w:val="00242345"/>
    <w:rsid w:val="00244823"/>
    <w:rsid w:val="00252DE0"/>
    <w:rsid w:val="00255970"/>
    <w:rsid w:val="00265327"/>
    <w:rsid w:val="00277344"/>
    <w:rsid w:val="00277DF6"/>
    <w:rsid w:val="00292D2B"/>
    <w:rsid w:val="002A3C59"/>
    <w:rsid w:val="002C0508"/>
    <w:rsid w:val="002E16B8"/>
    <w:rsid w:val="002F0EC8"/>
    <w:rsid w:val="002F4D0F"/>
    <w:rsid w:val="002F6B80"/>
    <w:rsid w:val="00312630"/>
    <w:rsid w:val="00315E64"/>
    <w:rsid w:val="003226BE"/>
    <w:rsid w:val="00325397"/>
    <w:rsid w:val="00334E05"/>
    <w:rsid w:val="003364A1"/>
    <w:rsid w:val="00344905"/>
    <w:rsid w:val="00354DD0"/>
    <w:rsid w:val="00357529"/>
    <w:rsid w:val="003609DF"/>
    <w:rsid w:val="00361E8D"/>
    <w:rsid w:val="00362D03"/>
    <w:rsid w:val="003755FC"/>
    <w:rsid w:val="00377132"/>
    <w:rsid w:val="00380B73"/>
    <w:rsid w:val="003B4B18"/>
    <w:rsid w:val="003B6A34"/>
    <w:rsid w:val="003B7617"/>
    <w:rsid w:val="003D236A"/>
    <w:rsid w:val="003D27BE"/>
    <w:rsid w:val="003D5FD1"/>
    <w:rsid w:val="003D7CB9"/>
    <w:rsid w:val="003E08F0"/>
    <w:rsid w:val="003E69B8"/>
    <w:rsid w:val="003F4AB0"/>
    <w:rsid w:val="003F7EE5"/>
    <w:rsid w:val="00401C10"/>
    <w:rsid w:val="004046F6"/>
    <w:rsid w:val="0042199E"/>
    <w:rsid w:val="00424D63"/>
    <w:rsid w:val="00425F93"/>
    <w:rsid w:val="00430F55"/>
    <w:rsid w:val="00443780"/>
    <w:rsid w:val="0044414E"/>
    <w:rsid w:val="004504BF"/>
    <w:rsid w:val="00451A34"/>
    <w:rsid w:val="00453DA4"/>
    <w:rsid w:val="00455DAB"/>
    <w:rsid w:val="00455E61"/>
    <w:rsid w:val="00465B25"/>
    <w:rsid w:val="00487133"/>
    <w:rsid w:val="00487EF6"/>
    <w:rsid w:val="0049697D"/>
    <w:rsid w:val="004977CE"/>
    <w:rsid w:val="004B0A4E"/>
    <w:rsid w:val="004B2B23"/>
    <w:rsid w:val="004B35B3"/>
    <w:rsid w:val="004B599A"/>
    <w:rsid w:val="004E25E9"/>
    <w:rsid w:val="004F2683"/>
    <w:rsid w:val="00500542"/>
    <w:rsid w:val="005006EE"/>
    <w:rsid w:val="0051084E"/>
    <w:rsid w:val="00521100"/>
    <w:rsid w:val="00521E18"/>
    <w:rsid w:val="00533C41"/>
    <w:rsid w:val="00541731"/>
    <w:rsid w:val="00541E2E"/>
    <w:rsid w:val="0054242B"/>
    <w:rsid w:val="00547363"/>
    <w:rsid w:val="0055757B"/>
    <w:rsid w:val="0056191F"/>
    <w:rsid w:val="00567FB6"/>
    <w:rsid w:val="00575764"/>
    <w:rsid w:val="00586666"/>
    <w:rsid w:val="005A56F4"/>
    <w:rsid w:val="005A70A7"/>
    <w:rsid w:val="005B278C"/>
    <w:rsid w:val="005C2B44"/>
    <w:rsid w:val="005C59C8"/>
    <w:rsid w:val="005E1D90"/>
    <w:rsid w:val="005E1E08"/>
    <w:rsid w:val="005E69D7"/>
    <w:rsid w:val="00601C0B"/>
    <w:rsid w:val="00603ACC"/>
    <w:rsid w:val="00606840"/>
    <w:rsid w:val="00610B06"/>
    <w:rsid w:val="00615BE4"/>
    <w:rsid w:val="00616607"/>
    <w:rsid w:val="00620FC5"/>
    <w:rsid w:val="006326DC"/>
    <w:rsid w:val="00664C51"/>
    <w:rsid w:val="00676203"/>
    <w:rsid w:val="006879C5"/>
    <w:rsid w:val="006949E6"/>
    <w:rsid w:val="006A0356"/>
    <w:rsid w:val="006A0806"/>
    <w:rsid w:val="006A1C4C"/>
    <w:rsid w:val="006A42FD"/>
    <w:rsid w:val="006C0C90"/>
    <w:rsid w:val="006C11D7"/>
    <w:rsid w:val="006D127C"/>
    <w:rsid w:val="006D1BCE"/>
    <w:rsid w:val="006E0D48"/>
    <w:rsid w:val="006F1F1B"/>
    <w:rsid w:val="006F4829"/>
    <w:rsid w:val="0070176B"/>
    <w:rsid w:val="007051BD"/>
    <w:rsid w:val="0070650D"/>
    <w:rsid w:val="007365D3"/>
    <w:rsid w:val="0074241D"/>
    <w:rsid w:val="00744568"/>
    <w:rsid w:val="00752CE3"/>
    <w:rsid w:val="00757A97"/>
    <w:rsid w:val="007630A7"/>
    <w:rsid w:val="007702FB"/>
    <w:rsid w:val="00777798"/>
    <w:rsid w:val="00794C71"/>
    <w:rsid w:val="007A3618"/>
    <w:rsid w:val="007A7D9F"/>
    <w:rsid w:val="007B0166"/>
    <w:rsid w:val="007C01AC"/>
    <w:rsid w:val="007C2B51"/>
    <w:rsid w:val="007E13CE"/>
    <w:rsid w:val="007E2BAE"/>
    <w:rsid w:val="007F217A"/>
    <w:rsid w:val="008063BE"/>
    <w:rsid w:val="008217A1"/>
    <w:rsid w:val="00825DBA"/>
    <w:rsid w:val="0083482E"/>
    <w:rsid w:val="008402F8"/>
    <w:rsid w:val="0084389E"/>
    <w:rsid w:val="00850D68"/>
    <w:rsid w:val="0085327D"/>
    <w:rsid w:val="00853863"/>
    <w:rsid w:val="00857DE0"/>
    <w:rsid w:val="008705F7"/>
    <w:rsid w:val="0088018F"/>
    <w:rsid w:val="00880AC3"/>
    <w:rsid w:val="00882EEC"/>
    <w:rsid w:val="008853B4"/>
    <w:rsid w:val="008965BF"/>
    <w:rsid w:val="008C4563"/>
    <w:rsid w:val="008D0BB8"/>
    <w:rsid w:val="008D2BC3"/>
    <w:rsid w:val="008D4ED3"/>
    <w:rsid w:val="008F1E38"/>
    <w:rsid w:val="00900E53"/>
    <w:rsid w:val="00907E65"/>
    <w:rsid w:val="0091056C"/>
    <w:rsid w:val="009115C0"/>
    <w:rsid w:val="00911943"/>
    <w:rsid w:val="00912E59"/>
    <w:rsid w:val="00912F0B"/>
    <w:rsid w:val="00914EBB"/>
    <w:rsid w:val="00937758"/>
    <w:rsid w:val="0095058D"/>
    <w:rsid w:val="00952E66"/>
    <w:rsid w:val="0097691F"/>
    <w:rsid w:val="00984B82"/>
    <w:rsid w:val="0098741E"/>
    <w:rsid w:val="00991D90"/>
    <w:rsid w:val="0099351A"/>
    <w:rsid w:val="009940E5"/>
    <w:rsid w:val="00996BE1"/>
    <w:rsid w:val="00996D8B"/>
    <w:rsid w:val="009B23F4"/>
    <w:rsid w:val="009B5221"/>
    <w:rsid w:val="009B71B2"/>
    <w:rsid w:val="009C5CA2"/>
    <w:rsid w:val="009E2FFE"/>
    <w:rsid w:val="009F16A2"/>
    <w:rsid w:val="00A0504C"/>
    <w:rsid w:val="00A0750E"/>
    <w:rsid w:val="00A1021E"/>
    <w:rsid w:val="00A14A59"/>
    <w:rsid w:val="00A249B0"/>
    <w:rsid w:val="00A25E52"/>
    <w:rsid w:val="00A309CC"/>
    <w:rsid w:val="00A34687"/>
    <w:rsid w:val="00A36A0F"/>
    <w:rsid w:val="00A5748B"/>
    <w:rsid w:val="00A67B3C"/>
    <w:rsid w:val="00A72720"/>
    <w:rsid w:val="00A748F1"/>
    <w:rsid w:val="00A93234"/>
    <w:rsid w:val="00A94B37"/>
    <w:rsid w:val="00A97311"/>
    <w:rsid w:val="00AB7E1F"/>
    <w:rsid w:val="00AC3BD8"/>
    <w:rsid w:val="00AC464D"/>
    <w:rsid w:val="00AC4F26"/>
    <w:rsid w:val="00AC524E"/>
    <w:rsid w:val="00AC54E9"/>
    <w:rsid w:val="00AD2820"/>
    <w:rsid w:val="00AE506A"/>
    <w:rsid w:val="00AE70B8"/>
    <w:rsid w:val="00AF5118"/>
    <w:rsid w:val="00B03092"/>
    <w:rsid w:val="00B042BC"/>
    <w:rsid w:val="00B16322"/>
    <w:rsid w:val="00B50C3A"/>
    <w:rsid w:val="00B667C8"/>
    <w:rsid w:val="00B676C7"/>
    <w:rsid w:val="00B7174C"/>
    <w:rsid w:val="00B71A84"/>
    <w:rsid w:val="00B71FAD"/>
    <w:rsid w:val="00B9465A"/>
    <w:rsid w:val="00BA12D0"/>
    <w:rsid w:val="00BA1F7C"/>
    <w:rsid w:val="00BA6C3C"/>
    <w:rsid w:val="00BC6852"/>
    <w:rsid w:val="00BD2F43"/>
    <w:rsid w:val="00BE39E9"/>
    <w:rsid w:val="00BE4C94"/>
    <w:rsid w:val="00BF2C82"/>
    <w:rsid w:val="00BF341E"/>
    <w:rsid w:val="00BF7F01"/>
    <w:rsid w:val="00C06BC3"/>
    <w:rsid w:val="00C0759C"/>
    <w:rsid w:val="00C10087"/>
    <w:rsid w:val="00C14446"/>
    <w:rsid w:val="00C16111"/>
    <w:rsid w:val="00C305D0"/>
    <w:rsid w:val="00C43B47"/>
    <w:rsid w:val="00C601B1"/>
    <w:rsid w:val="00C60255"/>
    <w:rsid w:val="00C762A2"/>
    <w:rsid w:val="00C8097E"/>
    <w:rsid w:val="00C8384A"/>
    <w:rsid w:val="00C90A9B"/>
    <w:rsid w:val="00C920D0"/>
    <w:rsid w:val="00C92C93"/>
    <w:rsid w:val="00CC0548"/>
    <w:rsid w:val="00CC499D"/>
    <w:rsid w:val="00CD282B"/>
    <w:rsid w:val="00CE11D9"/>
    <w:rsid w:val="00CF1399"/>
    <w:rsid w:val="00D06677"/>
    <w:rsid w:val="00D11D68"/>
    <w:rsid w:val="00D1313D"/>
    <w:rsid w:val="00D13CEE"/>
    <w:rsid w:val="00D25E6C"/>
    <w:rsid w:val="00D3249A"/>
    <w:rsid w:val="00D35C8C"/>
    <w:rsid w:val="00D54A94"/>
    <w:rsid w:val="00D602EA"/>
    <w:rsid w:val="00D653B1"/>
    <w:rsid w:val="00D663F5"/>
    <w:rsid w:val="00D67405"/>
    <w:rsid w:val="00D7407A"/>
    <w:rsid w:val="00DA371E"/>
    <w:rsid w:val="00DA5975"/>
    <w:rsid w:val="00DB4A5E"/>
    <w:rsid w:val="00DB6D74"/>
    <w:rsid w:val="00DC257C"/>
    <w:rsid w:val="00DC3826"/>
    <w:rsid w:val="00DC7A29"/>
    <w:rsid w:val="00DD107C"/>
    <w:rsid w:val="00DD1129"/>
    <w:rsid w:val="00DD7B7E"/>
    <w:rsid w:val="00DE02E5"/>
    <w:rsid w:val="00DE2419"/>
    <w:rsid w:val="00DE3E70"/>
    <w:rsid w:val="00DE4B38"/>
    <w:rsid w:val="00DF0B6A"/>
    <w:rsid w:val="00DF2C1B"/>
    <w:rsid w:val="00DF3A64"/>
    <w:rsid w:val="00DF4C01"/>
    <w:rsid w:val="00DF6F78"/>
    <w:rsid w:val="00DF7C36"/>
    <w:rsid w:val="00E4368F"/>
    <w:rsid w:val="00E46222"/>
    <w:rsid w:val="00E46B00"/>
    <w:rsid w:val="00E47D41"/>
    <w:rsid w:val="00E73070"/>
    <w:rsid w:val="00E76FF8"/>
    <w:rsid w:val="00E81D06"/>
    <w:rsid w:val="00E911C5"/>
    <w:rsid w:val="00E96067"/>
    <w:rsid w:val="00EA1A32"/>
    <w:rsid w:val="00EA5D57"/>
    <w:rsid w:val="00EB2E9A"/>
    <w:rsid w:val="00EB70AB"/>
    <w:rsid w:val="00EC51B7"/>
    <w:rsid w:val="00EC7689"/>
    <w:rsid w:val="00EE2628"/>
    <w:rsid w:val="00EF091C"/>
    <w:rsid w:val="00F17041"/>
    <w:rsid w:val="00F24D4E"/>
    <w:rsid w:val="00F25512"/>
    <w:rsid w:val="00F32AA3"/>
    <w:rsid w:val="00F40C33"/>
    <w:rsid w:val="00F42C48"/>
    <w:rsid w:val="00F50348"/>
    <w:rsid w:val="00F576C7"/>
    <w:rsid w:val="00F65C95"/>
    <w:rsid w:val="00F72081"/>
    <w:rsid w:val="00F82B5B"/>
    <w:rsid w:val="00F97586"/>
    <w:rsid w:val="00FA2F94"/>
    <w:rsid w:val="00FB447E"/>
    <w:rsid w:val="00FC4EBA"/>
    <w:rsid w:val="00FC64D0"/>
    <w:rsid w:val="00FD2EFD"/>
    <w:rsid w:val="00FD69DA"/>
    <w:rsid w:val="00FF68EE"/>
    <w:rsid w:val="010C543D"/>
    <w:rsid w:val="02792F9B"/>
    <w:rsid w:val="03157EE1"/>
    <w:rsid w:val="046B3380"/>
    <w:rsid w:val="04DA061F"/>
    <w:rsid w:val="05282A26"/>
    <w:rsid w:val="05D61374"/>
    <w:rsid w:val="05DE7F94"/>
    <w:rsid w:val="060B5E44"/>
    <w:rsid w:val="0699289A"/>
    <w:rsid w:val="06CF280B"/>
    <w:rsid w:val="07262F42"/>
    <w:rsid w:val="074000EE"/>
    <w:rsid w:val="074E3384"/>
    <w:rsid w:val="08736AE3"/>
    <w:rsid w:val="08AA16F5"/>
    <w:rsid w:val="08E9215E"/>
    <w:rsid w:val="09744731"/>
    <w:rsid w:val="0AD443DF"/>
    <w:rsid w:val="0AE104AB"/>
    <w:rsid w:val="0AF33399"/>
    <w:rsid w:val="0B4247C1"/>
    <w:rsid w:val="0B85598D"/>
    <w:rsid w:val="0B861462"/>
    <w:rsid w:val="0B8A09A4"/>
    <w:rsid w:val="0DE8360C"/>
    <w:rsid w:val="0E84307D"/>
    <w:rsid w:val="0E8E3087"/>
    <w:rsid w:val="0EE4035C"/>
    <w:rsid w:val="0F2E1E8F"/>
    <w:rsid w:val="0FA12302"/>
    <w:rsid w:val="1098410F"/>
    <w:rsid w:val="10A2201E"/>
    <w:rsid w:val="10BC5E37"/>
    <w:rsid w:val="10BD10AE"/>
    <w:rsid w:val="110A0458"/>
    <w:rsid w:val="126950D1"/>
    <w:rsid w:val="127077B2"/>
    <w:rsid w:val="127A5A84"/>
    <w:rsid w:val="12864734"/>
    <w:rsid w:val="13182FC8"/>
    <w:rsid w:val="1331496B"/>
    <w:rsid w:val="13BD2E28"/>
    <w:rsid w:val="13C61B7D"/>
    <w:rsid w:val="143052CB"/>
    <w:rsid w:val="150823BE"/>
    <w:rsid w:val="15A858C2"/>
    <w:rsid w:val="164C37DC"/>
    <w:rsid w:val="165F25C5"/>
    <w:rsid w:val="165F49D8"/>
    <w:rsid w:val="16D5133F"/>
    <w:rsid w:val="16DC594F"/>
    <w:rsid w:val="16EB4A67"/>
    <w:rsid w:val="170B781F"/>
    <w:rsid w:val="17E94C62"/>
    <w:rsid w:val="18C23CE3"/>
    <w:rsid w:val="18C82A38"/>
    <w:rsid w:val="19036716"/>
    <w:rsid w:val="191762F9"/>
    <w:rsid w:val="19C967AD"/>
    <w:rsid w:val="1AD21A56"/>
    <w:rsid w:val="1C0523E9"/>
    <w:rsid w:val="1CB316CF"/>
    <w:rsid w:val="1DED769B"/>
    <w:rsid w:val="1E2536DA"/>
    <w:rsid w:val="1E830353"/>
    <w:rsid w:val="1FAC58F3"/>
    <w:rsid w:val="1FB45CC1"/>
    <w:rsid w:val="1FD11DA2"/>
    <w:rsid w:val="200E02CB"/>
    <w:rsid w:val="209C5C91"/>
    <w:rsid w:val="209D6A16"/>
    <w:rsid w:val="20AA3662"/>
    <w:rsid w:val="21A24BB8"/>
    <w:rsid w:val="21B13FD7"/>
    <w:rsid w:val="228B4537"/>
    <w:rsid w:val="22F45509"/>
    <w:rsid w:val="23AA5307"/>
    <w:rsid w:val="23E8671F"/>
    <w:rsid w:val="24120373"/>
    <w:rsid w:val="24771563"/>
    <w:rsid w:val="24E3524E"/>
    <w:rsid w:val="252736EF"/>
    <w:rsid w:val="25813A7E"/>
    <w:rsid w:val="25A437BB"/>
    <w:rsid w:val="25DA2E95"/>
    <w:rsid w:val="260521B6"/>
    <w:rsid w:val="269A666B"/>
    <w:rsid w:val="279204F1"/>
    <w:rsid w:val="279F2D3F"/>
    <w:rsid w:val="291E49C7"/>
    <w:rsid w:val="295A2EF7"/>
    <w:rsid w:val="296F5DD0"/>
    <w:rsid w:val="2A266B9B"/>
    <w:rsid w:val="2A2C4571"/>
    <w:rsid w:val="2A8D23BD"/>
    <w:rsid w:val="2AF83F7F"/>
    <w:rsid w:val="2BD66EF1"/>
    <w:rsid w:val="2C185601"/>
    <w:rsid w:val="2C2E1854"/>
    <w:rsid w:val="2C2E1DD2"/>
    <w:rsid w:val="2C3A177E"/>
    <w:rsid w:val="2DEC5C5F"/>
    <w:rsid w:val="2E1E7ED1"/>
    <w:rsid w:val="2ED91824"/>
    <w:rsid w:val="2EFA3CF3"/>
    <w:rsid w:val="2F102DA7"/>
    <w:rsid w:val="2F6F7779"/>
    <w:rsid w:val="2F773072"/>
    <w:rsid w:val="2F7B3F3E"/>
    <w:rsid w:val="30C13076"/>
    <w:rsid w:val="31054754"/>
    <w:rsid w:val="31B05648"/>
    <w:rsid w:val="31E33F00"/>
    <w:rsid w:val="31FB27D7"/>
    <w:rsid w:val="32281128"/>
    <w:rsid w:val="32626C61"/>
    <w:rsid w:val="32A02C6A"/>
    <w:rsid w:val="34124EB2"/>
    <w:rsid w:val="3430030F"/>
    <w:rsid w:val="34421C31"/>
    <w:rsid w:val="34CE02D3"/>
    <w:rsid w:val="350A2E4E"/>
    <w:rsid w:val="3513710C"/>
    <w:rsid w:val="35B64254"/>
    <w:rsid w:val="35D12373"/>
    <w:rsid w:val="36424D84"/>
    <w:rsid w:val="36737C0F"/>
    <w:rsid w:val="3687025F"/>
    <w:rsid w:val="36EA5B6E"/>
    <w:rsid w:val="37842E2D"/>
    <w:rsid w:val="379A0D50"/>
    <w:rsid w:val="37A93457"/>
    <w:rsid w:val="387C6C93"/>
    <w:rsid w:val="38D00CC5"/>
    <w:rsid w:val="395F7102"/>
    <w:rsid w:val="39632B3D"/>
    <w:rsid w:val="39E43912"/>
    <w:rsid w:val="3A021F49"/>
    <w:rsid w:val="3A18210B"/>
    <w:rsid w:val="3AE1361D"/>
    <w:rsid w:val="3B914DE4"/>
    <w:rsid w:val="3C370D5C"/>
    <w:rsid w:val="3D3E654E"/>
    <w:rsid w:val="3D642AD9"/>
    <w:rsid w:val="3D8362BC"/>
    <w:rsid w:val="3DDE1ABF"/>
    <w:rsid w:val="3E762A85"/>
    <w:rsid w:val="3E7E3208"/>
    <w:rsid w:val="3E9E4B5F"/>
    <w:rsid w:val="3EBD1872"/>
    <w:rsid w:val="3F0C5C23"/>
    <w:rsid w:val="3F464A73"/>
    <w:rsid w:val="3F4C6ABE"/>
    <w:rsid w:val="3F6301F5"/>
    <w:rsid w:val="3F6A0974"/>
    <w:rsid w:val="3F6E0848"/>
    <w:rsid w:val="3F745407"/>
    <w:rsid w:val="40084497"/>
    <w:rsid w:val="404F2557"/>
    <w:rsid w:val="40F110A5"/>
    <w:rsid w:val="410119D6"/>
    <w:rsid w:val="42952DFF"/>
    <w:rsid w:val="42EB51C1"/>
    <w:rsid w:val="42F34EBD"/>
    <w:rsid w:val="43B71DFF"/>
    <w:rsid w:val="44B62CB8"/>
    <w:rsid w:val="451E6825"/>
    <w:rsid w:val="46581115"/>
    <w:rsid w:val="466711E5"/>
    <w:rsid w:val="468E0519"/>
    <w:rsid w:val="46AC70C8"/>
    <w:rsid w:val="46C56654"/>
    <w:rsid w:val="46D90ABE"/>
    <w:rsid w:val="46DF5AB8"/>
    <w:rsid w:val="46F84B92"/>
    <w:rsid w:val="4753720A"/>
    <w:rsid w:val="47B57B96"/>
    <w:rsid w:val="47FB1D49"/>
    <w:rsid w:val="484E49CF"/>
    <w:rsid w:val="4900058E"/>
    <w:rsid w:val="49381071"/>
    <w:rsid w:val="4AEC406E"/>
    <w:rsid w:val="4B146099"/>
    <w:rsid w:val="4B404981"/>
    <w:rsid w:val="4B860C50"/>
    <w:rsid w:val="4BC71F55"/>
    <w:rsid w:val="4C9E3B7A"/>
    <w:rsid w:val="4CCE0B6D"/>
    <w:rsid w:val="4D0C28C4"/>
    <w:rsid w:val="4DAB0294"/>
    <w:rsid w:val="4E1D1867"/>
    <w:rsid w:val="4EAC4DA6"/>
    <w:rsid w:val="4F005565"/>
    <w:rsid w:val="4F0E144F"/>
    <w:rsid w:val="4F1E59C0"/>
    <w:rsid w:val="4F485FC3"/>
    <w:rsid w:val="4F6D618B"/>
    <w:rsid w:val="4F862056"/>
    <w:rsid w:val="4FBC1456"/>
    <w:rsid w:val="50390F66"/>
    <w:rsid w:val="51381AC1"/>
    <w:rsid w:val="51762AEE"/>
    <w:rsid w:val="518219C7"/>
    <w:rsid w:val="51CA2669"/>
    <w:rsid w:val="52D010DE"/>
    <w:rsid w:val="530C0B1B"/>
    <w:rsid w:val="5331675D"/>
    <w:rsid w:val="54032BE8"/>
    <w:rsid w:val="540551DE"/>
    <w:rsid w:val="543D1CD8"/>
    <w:rsid w:val="54D13EBC"/>
    <w:rsid w:val="54E60C06"/>
    <w:rsid w:val="54F16BC9"/>
    <w:rsid w:val="55765982"/>
    <w:rsid w:val="558A1E61"/>
    <w:rsid w:val="55C975BB"/>
    <w:rsid w:val="55FC2D0F"/>
    <w:rsid w:val="56160AC4"/>
    <w:rsid w:val="56C440E6"/>
    <w:rsid w:val="572B04AD"/>
    <w:rsid w:val="5860672D"/>
    <w:rsid w:val="586734D3"/>
    <w:rsid w:val="58F93FE8"/>
    <w:rsid w:val="593E3406"/>
    <w:rsid w:val="59633A07"/>
    <w:rsid w:val="59746691"/>
    <w:rsid w:val="597773A5"/>
    <w:rsid w:val="597A3ED7"/>
    <w:rsid w:val="5A0F7CF9"/>
    <w:rsid w:val="5AE43CC5"/>
    <w:rsid w:val="5BEB3EF2"/>
    <w:rsid w:val="5C487C78"/>
    <w:rsid w:val="5CA07A97"/>
    <w:rsid w:val="5D043384"/>
    <w:rsid w:val="5D1C01AF"/>
    <w:rsid w:val="5D2D5D9D"/>
    <w:rsid w:val="5D8A6083"/>
    <w:rsid w:val="5DCE58F2"/>
    <w:rsid w:val="5DD62357"/>
    <w:rsid w:val="5E6A56B6"/>
    <w:rsid w:val="5E7303CB"/>
    <w:rsid w:val="603863F0"/>
    <w:rsid w:val="605849BF"/>
    <w:rsid w:val="60892F41"/>
    <w:rsid w:val="609A12F1"/>
    <w:rsid w:val="60A364E6"/>
    <w:rsid w:val="60DB2B68"/>
    <w:rsid w:val="6113030D"/>
    <w:rsid w:val="61BA031A"/>
    <w:rsid w:val="61C7423C"/>
    <w:rsid w:val="629114D1"/>
    <w:rsid w:val="633F71E8"/>
    <w:rsid w:val="634D2A75"/>
    <w:rsid w:val="63B71897"/>
    <w:rsid w:val="64207CFD"/>
    <w:rsid w:val="64900D6E"/>
    <w:rsid w:val="64A66197"/>
    <w:rsid w:val="64ED16D9"/>
    <w:rsid w:val="64F62DB2"/>
    <w:rsid w:val="65FBE2E4"/>
    <w:rsid w:val="66033A7B"/>
    <w:rsid w:val="660F4AC4"/>
    <w:rsid w:val="66683674"/>
    <w:rsid w:val="66C60E3F"/>
    <w:rsid w:val="66EB60E9"/>
    <w:rsid w:val="673E2190"/>
    <w:rsid w:val="676B0588"/>
    <w:rsid w:val="67721777"/>
    <w:rsid w:val="68324798"/>
    <w:rsid w:val="68652D73"/>
    <w:rsid w:val="68653B68"/>
    <w:rsid w:val="68B8655E"/>
    <w:rsid w:val="69A31BE4"/>
    <w:rsid w:val="6A3416A8"/>
    <w:rsid w:val="6C6A7869"/>
    <w:rsid w:val="6C8E589F"/>
    <w:rsid w:val="6D9B158F"/>
    <w:rsid w:val="6EB072A6"/>
    <w:rsid w:val="6EBC18A9"/>
    <w:rsid w:val="6EFD5FAC"/>
    <w:rsid w:val="6F0C2711"/>
    <w:rsid w:val="6F6E4FAC"/>
    <w:rsid w:val="6F890B1A"/>
    <w:rsid w:val="70C269D0"/>
    <w:rsid w:val="710B074B"/>
    <w:rsid w:val="710D6FDF"/>
    <w:rsid w:val="71283836"/>
    <w:rsid w:val="717405BF"/>
    <w:rsid w:val="71AF49AC"/>
    <w:rsid w:val="71E906CF"/>
    <w:rsid w:val="728672AA"/>
    <w:rsid w:val="72921A13"/>
    <w:rsid w:val="72CF4806"/>
    <w:rsid w:val="72E15C68"/>
    <w:rsid w:val="73843BC3"/>
    <w:rsid w:val="7389665F"/>
    <w:rsid w:val="73A31DEF"/>
    <w:rsid w:val="73C30951"/>
    <w:rsid w:val="74705357"/>
    <w:rsid w:val="748638E0"/>
    <w:rsid w:val="74D20C18"/>
    <w:rsid w:val="74D74B52"/>
    <w:rsid w:val="75487AC7"/>
    <w:rsid w:val="755B6C00"/>
    <w:rsid w:val="757535C5"/>
    <w:rsid w:val="75EF1079"/>
    <w:rsid w:val="75FF9075"/>
    <w:rsid w:val="76755F27"/>
    <w:rsid w:val="77E85332"/>
    <w:rsid w:val="78F71711"/>
    <w:rsid w:val="793D711A"/>
    <w:rsid w:val="797E7615"/>
    <w:rsid w:val="798B0C07"/>
    <w:rsid w:val="79E97DC5"/>
    <w:rsid w:val="7A2E4471"/>
    <w:rsid w:val="7AA96446"/>
    <w:rsid w:val="7B095625"/>
    <w:rsid w:val="7B390A72"/>
    <w:rsid w:val="7C6018CD"/>
    <w:rsid w:val="7C907B6C"/>
    <w:rsid w:val="7CA2186F"/>
    <w:rsid w:val="7D8A3FB2"/>
    <w:rsid w:val="7DF01A9A"/>
    <w:rsid w:val="7DF3C2CE"/>
    <w:rsid w:val="7E100BD1"/>
    <w:rsid w:val="7F6645BA"/>
    <w:rsid w:val="7FFC5801"/>
    <w:rsid w:val="9ADB649F"/>
    <w:rsid w:val="9F565DFC"/>
    <w:rsid w:val="F3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673C0CA5-6C7F-404F-9BA1-6C2DFB78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580" w:lineRule="exact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jc w:val="center"/>
      <w:outlineLvl w:val="0"/>
    </w:pPr>
    <w:rPr>
      <w:rFonts w:ascii="Calibri" w:eastAsia="华康简标题宋" w:hAnsi="Calibri"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line="240" w:lineRule="auto"/>
    </w:pPr>
    <w:rPr>
      <w:rFonts w:eastAsia="宋体"/>
      <w:sz w:val="30"/>
      <w:szCs w:val="24"/>
    </w:rPr>
  </w:style>
  <w:style w:type="paragraph" w:styleId="a4">
    <w:name w:val="Normal Indent"/>
    <w:basedOn w:val="a"/>
    <w:pPr>
      <w:spacing w:line="240" w:lineRule="auto"/>
      <w:ind w:firstLineChars="200" w:firstLine="420"/>
    </w:pPr>
    <w:rPr>
      <w:rFonts w:eastAsia="宋体"/>
      <w:kern w:val="10"/>
      <w:sz w:val="21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pPr>
      <w:jc w:val="left"/>
    </w:pPr>
  </w:style>
  <w:style w:type="paragraph" w:styleId="3">
    <w:name w:val="Body Text 3"/>
    <w:basedOn w:val="a"/>
    <w:pPr>
      <w:jc w:val="left"/>
    </w:pPr>
    <w:rPr>
      <w:rFonts w:ascii="仿宋_GB2312"/>
      <w:color w:val="000000"/>
      <w:sz w:val="28"/>
    </w:rPr>
  </w:style>
  <w:style w:type="paragraph" w:styleId="a7">
    <w:name w:val="Body Text Indent"/>
    <w:basedOn w:val="a"/>
    <w:next w:val="a8"/>
    <w:link w:val="Char"/>
    <w:pPr>
      <w:spacing w:line="240" w:lineRule="auto"/>
      <w:ind w:firstLine="645"/>
    </w:pPr>
    <w:rPr>
      <w:rFonts w:ascii="仿宋_GB2312"/>
      <w:b/>
    </w:rPr>
  </w:style>
  <w:style w:type="character" w:customStyle="1" w:styleId="Char">
    <w:name w:val="正文文本缩进 Char"/>
    <w:link w:val="a7"/>
    <w:rPr>
      <w:rFonts w:ascii="仿宋_GB2312" w:eastAsia="仿宋_GB2312"/>
      <w:b/>
      <w:kern w:val="2"/>
      <w:sz w:val="32"/>
      <w:lang w:val="en-US" w:eastAsia="zh-CN" w:bidi="ar-SA"/>
    </w:rPr>
  </w:style>
  <w:style w:type="paragraph" w:styleId="a8">
    <w:name w:val="footer"/>
    <w:basedOn w:val="a"/>
    <w:next w:val="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9">
    <w:name w:val="Plain Text"/>
    <w:basedOn w:val="a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paragraph" w:styleId="aa">
    <w:name w:val="Date"/>
    <w:basedOn w:val="a"/>
    <w:next w:val="a"/>
    <w:pPr>
      <w:spacing w:line="240" w:lineRule="auto"/>
      <w:ind w:leftChars="2500" w:left="100"/>
    </w:pPr>
    <w:rPr>
      <w:rFonts w:ascii="仿宋_GB2312"/>
      <w:sz w:val="30"/>
      <w:szCs w:val="24"/>
    </w:rPr>
  </w:style>
  <w:style w:type="paragraph" w:styleId="20">
    <w:name w:val="Body Text Indent 2"/>
    <w:basedOn w:val="a"/>
    <w:pPr>
      <w:spacing w:line="240" w:lineRule="auto"/>
      <w:ind w:rightChars="183" w:right="384" w:firstLineChars="199" w:firstLine="637"/>
    </w:pPr>
    <w:rPr>
      <w:szCs w:val="24"/>
    </w:rPr>
  </w:style>
  <w:style w:type="paragraph" w:styleId="ab">
    <w:name w:val="Balloon Text"/>
    <w:basedOn w:val="a"/>
    <w:semiHidden/>
    <w:pPr>
      <w:spacing w:line="240" w:lineRule="auto"/>
    </w:pPr>
    <w:rPr>
      <w:rFonts w:eastAsia="宋体"/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pPr>
      <w:spacing w:line="240" w:lineRule="auto"/>
      <w:ind w:firstLineChars="200" w:firstLine="480"/>
    </w:pPr>
    <w:rPr>
      <w:rFonts w:eastAsia="宋体"/>
      <w:sz w:val="24"/>
    </w:rPr>
  </w:style>
  <w:style w:type="paragraph" w:styleId="21">
    <w:name w:val="Body Text 2"/>
    <w:basedOn w:val="a"/>
    <w:pPr>
      <w:jc w:val="center"/>
    </w:pPr>
    <w:rPr>
      <w:rFonts w:ascii="华康简标题宋" w:eastAsia="华康简标题宋"/>
      <w:sz w:val="4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eastAsia="黑体" w:hAnsi="Courier New" w:cs="Courier New"/>
      <w:kern w:val="0"/>
      <w:sz w:val="20"/>
    </w:rPr>
  </w:style>
  <w:style w:type="paragraph" w:styleId="ad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paragraph" w:styleId="ae">
    <w:name w:val="Body Text First Indent"/>
    <w:pPr>
      <w:widowControl w:val="0"/>
      <w:spacing w:after="120"/>
      <w:ind w:firstLineChars="100" w:firstLine="420"/>
      <w:jc w:val="both"/>
    </w:pPr>
    <w:rPr>
      <w:rFonts w:ascii="Calibri" w:hAnsi="Calibri"/>
      <w:kern w:val="2"/>
      <w:sz w:val="32"/>
    </w:rPr>
  </w:style>
  <w:style w:type="paragraph" w:styleId="22">
    <w:name w:val="Body Text First Indent 2"/>
    <w:pPr>
      <w:widowControl w:val="0"/>
      <w:spacing w:after="120"/>
      <w:ind w:leftChars="200" w:left="420" w:firstLineChars="200" w:firstLine="420"/>
      <w:jc w:val="both"/>
    </w:pPr>
    <w:rPr>
      <w:rFonts w:ascii="Calibri" w:hAnsi="Calibri" w:cs="黑体"/>
      <w:kern w:val="2"/>
      <w:sz w:val="21"/>
      <w:szCs w:val="22"/>
    </w:rPr>
  </w:style>
  <w:style w:type="table" w:styleId="af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</w:rPr>
  </w:style>
  <w:style w:type="character" w:styleId="af1">
    <w:name w:val="page number"/>
  </w:style>
  <w:style w:type="character" w:styleId="af2">
    <w:name w:val="Hyperlink"/>
    <w:rPr>
      <w:color w:val="0000FF"/>
      <w:u w:val="single"/>
    </w:rPr>
  </w:style>
  <w:style w:type="character" w:customStyle="1" w:styleId="zt5">
    <w:name w:val="zt5"/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paragraph" w:customStyle="1" w:styleId="char0">
    <w:name w:val="char"/>
    <w:basedOn w:val="a"/>
    <w:pPr>
      <w:widowControl/>
      <w:spacing w:after="160" w:line="240" w:lineRule="exact"/>
      <w:jc w:val="left"/>
    </w:pPr>
    <w:rPr>
      <w:rFonts w:ascii="Verdana" w:hAnsi="Verdana" w:cs="”“Times New Roman”“"/>
      <w:kern w:val="0"/>
      <w:sz w:val="24"/>
      <w:lang w:eastAsia="en-US"/>
    </w:rPr>
  </w:style>
  <w:style w:type="paragraph" w:customStyle="1" w:styleId="CharCharCharChar">
    <w:name w:val="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af3">
    <w:name w:val="第二层"/>
    <w:basedOn w:val="a"/>
    <w:pPr>
      <w:spacing w:line="240" w:lineRule="auto"/>
    </w:pPr>
    <w:rPr>
      <w:rFonts w:ascii="宋体" w:eastAsia="黑体" w:hAnsi="宋体" w:cs="宋体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40"/>
      <w:szCs w:val="4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CharCharCharChar0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xl34">
    <w:name w:val="xl34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Char1CharCharChar">
    <w:name w:val=" Char1 Char Char Char"/>
    <w:basedOn w:val="a"/>
    <w:rPr>
      <w:sz w:val="30"/>
      <w:szCs w:val="24"/>
    </w:rPr>
  </w:style>
  <w:style w:type="paragraph" w:customStyle="1" w:styleId="Char1CharCharCharCharCharChar">
    <w:name w:val="Char1 Char Char Char Char Char Char"/>
    <w:basedOn w:val="a"/>
    <w:pPr>
      <w:spacing w:line="240" w:lineRule="auto"/>
    </w:pPr>
    <w:rPr>
      <w:rFonts w:ascii="Tahoma" w:eastAsia="宋体" w:hAnsi="Tahoma"/>
      <w:sz w:val="24"/>
    </w:rPr>
  </w:style>
  <w:style w:type="paragraph" w:customStyle="1" w:styleId="xl33">
    <w:name w:val="xl33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xl39">
    <w:name w:val="xl39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b/>
      <w:bCs/>
      <w:kern w:val="0"/>
      <w:sz w:val="40"/>
      <w:szCs w:val="40"/>
    </w:rPr>
  </w:style>
  <w:style w:type="paragraph" w:customStyle="1" w:styleId="xl35">
    <w:name w:val="xl35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/>
      <w:kern w:val="0"/>
      <w:sz w:val="22"/>
      <w:szCs w:val="22"/>
    </w:rPr>
  </w:style>
  <w:style w:type="paragraph" w:customStyle="1" w:styleId="p0">
    <w:name w:val="p0"/>
    <w:basedOn w:val="a"/>
    <w:pPr>
      <w:widowControl/>
      <w:spacing w:line="580" w:lineRule="atLeast"/>
    </w:pPr>
    <w:rPr>
      <w:rFonts w:eastAsia="宋体"/>
      <w:kern w:val="0"/>
      <w:szCs w:val="32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Char1">
    <w:name w:val=" Char"/>
    <w:basedOn w:val="a5"/>
    <w:pPr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kern w:val="0"/>
      <w:sz w:val="22"/>
      <w:szCs w:val="22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仿宋_GB2312" w:hAnsi="宋体" w:hint="eastAsia"/>
      <w:kern w:val="0"/>
      <w:sz w:val="22"/>
      <w:szCs w:val="22"/>
    </w:rPr>
  </w:style>
  <w:style w:type="paragraph" w:customStyle="1" w:styleId="xl38">
    <w:name w:val="xl38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b/>
      <w:bCs/>
      <w:kern w:val="0"/>
      <w:sz w:val="40"/>
      <w:szCs w:val="40"/>
    </w:rPr>
  </w:style>
  <w:style w:type="paragraph" w:customStyle="1" w:styleId="GB231207928">
    <w:name w:val="样式 (中文) 楷体_GB2312 小三 首行缩进:  0.79 厘米 行距: 固定值 28 磅"/>
    <w:basedOn w:val="a"/>
    <w:pPr>
      <w:spacing w:line="560" w:lineRule="exact"/>
      <w:ind w:firstLine="450"/>
    </w:pPr>
    <w:rPr>
      <w:rFonts w:eastAsia="楷体_GB231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kern w:val="0"/>
      <w:sz w:val="40"/>
      <w:szCs w:val="4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  <w:jc w:val="left"/>
    </w:pPr>
    <w:rPr>
      <w:rFonts w:eastAsia="宋体"/>
      <w:kern w:val="0"/>
      <w:sz w:val="22"/>
      <w:szCs w:val="22"/>
    </w:rPr>
  </w:style>
  <w:style w:type="paragraph" w:customStyle="1" w:styleId="xl25">
    <w:name w:val="xl25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Char2">
    <w:name w:val="Char"/>
    <w:basedOn w:val="a5"/>
    <w:pPr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hint="eastAsi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403</Words>
  <Characters>2301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>Win10_64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国粮发[2000]32号</dc:title>
  <dc:subject/>
  <dc:creator>赵绘图</dc:creator>
  <cp:keywords/>
  <dc:description/>
  <cp:lastModifiedBy>Microsoft 帐户</cp:lastModifiedBy>
  <cp:revision>2</cp:revision>
  <cp:lastPrinted>2021-02-09T08:11:00Z</cp:lastPrinted>
  <dcterms:created xsi:type="dcterms:W3CDTF">2021-11-18T05:45:00Z</dcterms:created>
  <dcterms:modified xsi:type="dcterms:W3CDTF">2021-11-18T05:45:00Z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D10A4AD1F49B4F5C8D44F05EECE2A4EA</vt:lpwstr>
  </property>
</Properties>
</file>