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21107">
      <w:pPr>
        <w:tabs>
          <w:tab w:val="center" w:pos="6663"/>
        </w:tabs>
        <w:rPr>
          <w:rFonts w:eastAsia="仿宋_GB2312"/>
          <w:sz w:val="32"/>
        </w:rPr>
      </w:pPr>
      <w:bookmarkStart w:id="0" w:name="_GoBack"/>
      <w:bookmarkEnd w:id="0"/>
      <w:r>
        <w:rPr>
          <w:rFonts w:eastAsia="黑体"/>
          <w:sz w:val="32"/>
        </w:rPr>
        <w:t>附件</w:t>
      </w:r>
      <w:r>
        <w:rPr>
          <w:rFonts w:eastAsia="黑体"/>
          <w:sz w:val="32"/>
        </w:rPr>
        <w:t>3</w:t>
      </w:r>
    </w:p>
    <w:p w:rsidR="00000000" w:rsidRDefault="00721107">
      <w:pPr>
        <w:spacing w:line="600" w:lineRule="exact"/>
        <w:ind w:firstLineChars="200" w:firstLine="640"/>
        <w:jc w:val="left"/>
        <w:rPr>
          <w:rFonts w:ascii="仿宋_GB2312" w:eastAsia="仿宋_GB2312" w:hAnsi="仿宋_GB2312"/>
          <w:sz w:val="32"/>
        </w:rPr>
      </w:pPr>
    </w:p>
    <w:p w:rsidR="00000000" w:rsidRDefault="00721107">
      <w:pPr>
        <w:spacing w:line="360" w:lineRule="auto"/>
        <w:jc w:val="left"/>
        <w:rPr>
          <w:rFonts w:ascii="仿宋_GB2312" w:eastAsia="仿宋_GB2312" w:hAnsi="仿宋_GB2312"/>
          <w:sz w:val="32"/>
        </w:rPr>
      </w:pPr>
    </w:p>
    <w:p w:rsidR="00000000" w:rsidRDefault="00721107">
      <w:pPr>
        <w:spacing w:line="360" w:lineRule="auto"/>
        <w:jc w:val="left"/>
        <w:rPr>
          <w:rFonts w:ascii="仿宋_GB2312" w:eastAsia="仿宋_GB2312" w:hAnsi="仿宋_GB2312"/>
          <w:sz w:val="32"/>
        </w:rPr>
      </w:pPr>
    </w:p>
    <w:p w:rsidR="00000000" w:rsidRDefault="00721107">
      <w:pPr>
        <w:pStyle w:val="15"/>
        <w:spacing w:line="360" w:lineRule="auto"/>
        <w:rPr>
          <w:rFonts w:ascii="华文中宋" w:eastAsia="华文中宋" w:hAnsi="华文中宋"/>
          <w:b w:val="0"/>
          <w:sz w:val="44"/>
        </w:rPr>
      </w:pPr>
      <w:r>
        <w:rPr>
          <w:rFonts w:ascii="华文中宋" w:eastAsia="华文中宋" w:hAnsi="华文中宋" w:hint="eastAsia"/>
          <w:b w:val="0"/>
          <w:sz w:val="44"/>
        </w:rPr>
        <w:t>绿色数据中心第三方评价报告</w:t>
      </w:r>
    </w:p>
    <w:p w:rsidR="00000000" w:rsidRDefault="00721107">
      <w:pPr>
        <w:spacing w:line="360" w:lineRule="auto"/>
      </w:pPr>
    </w:p>
    <w:p w:rsidR="00000000" w:rsidRDefault="00721107">
      <w:pPr>
        <w:spacing w:line="360" w:lineRule="auto"/>
        <w:rPr>
          <w:sz w:val="32"/>
        </w:rPr>
      </w:pPr>
    </w:p>
    <w:p w:rsidR="00000000" w:rsidRDefault="00721107">
      <w:pPr>
        <w:spacing w:line="360" w:lineRule="auto"/>
        <w:rPr>
          <w:sz w:val="32"/>
        </w:rPr>
      </w:pPr>
    </w:p>
    <w:p w:rsidR="00000000" w:rsidRDefault="00721107">
      <w:pPr>
        <w:spacing w:line="360" w:lineRule="auto"/>
        <w:rPr>
          <w:sz w:val="32"/>
        </w:rPr>
      </w:pPr>
    </w:p>
    <w:p w:rsidR="00000000" w:rsidRDefault="00721107">
      <w:pPr>
        <w:spacing w:line="360" w:lineRule="auto"/>
        <w:rPr>
          <w:sz w:val="32"/>
        </w:rPr>
      </w:pPr>
    </w:p>
    <w:p w:rsidR="00000000" w:rsidRDefault="00721107">
      <w:pPr>
        <w:spacing w:line="360" w:lineRule="auto"/>
        <w:rPr>
          <w:sz w:val="32"/>
        </w:rPr>
      </w:pPr>
    </w:p>
    <w:p w:rsidR="00000000" w:rsidRDefault="00721107">
      <w:pPr>
        <w:spacing w:line="360" w:lineRule="auto"/>
        <w:rPr>
          <w:sz w:val="32"/>
        </w:rPr>
      </w:pPr>
    </w:p>
    <w:p w:rsidR="00000000" w:rsidRDefault="00721107">
      <w:pPr>
        <w:spacing w:line="360" w:lineRule="auto"/>
        <w:jc w:val="distribute"/>
        <w:rPr>
          <w:rFonts w:ascii="楷体_GB2312" w:eastAsia="楷体_GB2312" w:hAnsi="楷体_GB2312"/>
          <w:sz w:val="32"/>
        </w:rPr>
      </w:pPr>
    </w:p>
    <w:tbl>
      <w:tblPr>
        <w:tblW w:w="0" w:type="auto"/>
        <w:jc w:val="center"/>
        <w:tblInd w:w="0" w:type="dxa"/>
        <w:tblLayout w:type="fixed"/>
        <w:tblLook w:val="0000" w:firstRow="0" w:lastRow="0" w:firstColumn="0" w:lastColumn="0" w:noHBand="0" w:noVBand="0"/>
      </w:tblPr>
      <w:tblGrid>
        <w:gridCol w:w="3580"/>
        <w:gridCol w:w="405"/>
        <w:gridCol w:w="4240"/>
      </w:tblGrid>
      <w:tr w:rsidR="00000000">
        <w:trPr>
          <w:trHeight w:val="659"/>
          <w:jc w:val="center"/>
        </w:trPr>
        <w:tc>
          <w:tcPr>
            <w:tcW w:w="3580" w:type="dxa"/>
          </w:tcPr>
          <w:p w:rsidR="00000000" w:rsidRDefault="00721107">
            <w:pPr>
              <w:spacing w:line="360" w:lineRule="auto"/>
              <w:jc w:val="distribute"/>
              <w:rPr>
                <w:rFonts w:ascii="楷体_GB2312" w:eastAsia="楷体_GB2312" w:hAnsi="楷体_GB2312"/>
                <w:sz w:val="32"/>
              </w:rPr>
            </w:pPr>
            <w:r>
              <w:rPr>
                <w:rFonts w:eastAsia="楷体_GB2312"/>
                <w:sz w:val="32"/>
              </w:rPr>
              <w:t>申请单位</w:t>
            </w:r>
          </w:p>
        </w:tc>
        <w:tc>
          <w:tcPr>
            <w:tcW w:w="405" w:type="dxa"/>
          </w:tcPr>
          <w:p w:rsidR="00000000" w:rsidRDefault="00721107">
            <w:pPr>
              <w:spacing w:line="360" w:lineRule="auto"/>
              <w:jc w:val="distribute"/>
              <w:rPr>
                <w:rFonts w:ascii="楷体_GB2312" w:eastAsia="楷体_GB2312" w:hAnsi="楷体_GB2312"/>
                <w:sz w:val="32"/>
              </w:rPr>
            </w:pPr>
            <w:r>
              <w:rPr>
                <w:rFonts w:ascii="楷体_GB2312" w:eastAsia="楷体_GB2312" w:hAnsi="楷体_GB2312" w:hint="eastAsia"/>
                <w:sz w:val="32"/>
              </w:rPr>
              <w:t>：</w:t>
            </w:r>
          </w:p>
        </w:tc>
        <w:tc>
          <w:tcPr>
            <w:tcW w:w="4240" w:type="dxa"/>
          </w:tcPr>
          <w:p w:rsidR="00000000" w:rsidRDefault="00721107">
            <w:pPr>
              <w:spacing w:line="360" w:lineRule="auto"/>
              <w:jc w:val="distribute"/>
              <w:rPr>
                <w:rFonts w:ascii="楷体_GB2312" w:eastAsia="楷体_GB2312" w:hAnsi="楷体_GB2312"/>
                <w:sz w:val="32"/>
              </w:rPr>
            </w:pPr>
          </w:p>
        </w:tc>
      </w:tr>
      <w:tr w:rsidR="00000000">
        <w:trPr>
          <w:trHeight w:val="659"/>
          <w:jc w:val="center"/>
        </w:trPr>
        <w:tc>
          <w:tcPr>
            <w:tcW w:w="3580" w:type="dxa"/>
          </w:tcPr>
          <w:p w:rsidR="00000000" w:rsidRDefault="00721107">
            <w:pPr>
              <w:spacing w:line="360" w:lineRule="auto"/>
              <w:jc w:val="distribute"/>
              <w:rPr>
                <w:rFonts w:ascii="楷体_GB2312" w:eastAsia="楷体_GB2312" w:hAnsi="楷体_GB2312"/>
                <w:sz w:val="32"/>
              </w:rPr>
            </w:pPr>
            <w:r>
              <w:rPr>
                <w:rFonts w:ascii="楷体_GB2312" w:eastAsia="楷体_GB2312" w:hAnsi="楷体_GB2312" w:hint="eastAsia"/>
                <w:sz w:val="32"/>
              </w:rPr>
              <w:t>数据中心名称</w:t>
            </w:r>
          </w:p>
        </w:tc>
        <w:tc>
          <w:tcPr>
            <w:tcW w:w="405" w:type="dxa"/>
          </w:tcPr>
          <w:p w:rsidR="00000000" w:rsidRDefault="00721107">
            <w:pPr>
              <w:spacing w:line="360" w:lineRule="auto"/>
              <w:jc w:val="distribute"/>
              <w:rPr>
                <w:rFonts w:ascii="楷体_GB2312" w:eastAsia="楷体_GB2312" w:hAnsi="楷体_GB2312" w:hint="eastAsia"/>
                <w:sz w:val="32"/>
                <w:szCs w:val="22"/>
              </w:rPr>
            </w:pPr>
            <w:r>
              <w:rPr>
                <w:rFonts w:ascii="楷体_GB2312" w:eastAsia="楷体_GB2312" w:hAnsi="楷体_GB2312" w:hint="eastAsia"/>
                <w:sz w:val="32"/>
                <w:szCs w:val="22"/>
              </w:rPr>
              <w:t>：</w:t>
            </w:r>
          </w:p>
        </w:tc>
        <w:tc>
          <w:tcPr>
            <w:tcW w:w="4240" w:type="dxa"/>
          </w:tcPr>
          <w:p w:rsidR="00000000" w:rsidRDefault="00721107">
            <w:pPr>
              <w:spacing w:line="360" w:lineRule="auto"/>
              <w:jc w:val="distribute"/>
              <w:rPr>
                <w:rFonts w:ascii="楷体_GB2312" w:eastAsia="楷体_GB2312" w:hAnsi="楷体_GB2312"/>
                <w:sz w:val="32"/>
              </w:rPr>
            </w:pPr>
          </w:p>
        </w:tc>
      </w:tr>
      <w:tr w:rsidR="00000000">
        <w:trPr>
          <w:trHeight w:val="659"/>
          <w:jc w:val="center"/>
        </w:trPr>
        <w:tc>
          <w:tcPr>
            <w:tcW w:w="3580" w:type="dxa"/>
          </w:tcPr>
          <w:p w:rsidR="00000000" w:rsidRDefault="00721107">
            <w:pPr>
              <w:spacing w:line="360" w:lineRule="auto"/>
              <w:jc w:val="distribute"/>
              <w:rPr>
                <w:rFonts w:ascii="楷体_GB2312" w:eastAsia="楷体_GB2312" w:hAnsi="楷体_GB2312" w:hint="eastAsia"/>
                <w:sz w:val="32"/>
              </w:rPr>
            </w:pPr>
            <w:r>
              <w:rPr>
                <w:rFonts w:ascii="楷体_GB2312" w:eastAsia="楷体_GB2312" w:hAnsi="楷体_GB2312" w:hint="eastAsia"/>
                <w:sz w:val="32"/>
              </w:rPr>
              <w:t>第三方评价机构（公章）</w:t>
            </w:r>
          </w:p>
        </w:tc>
        <w:tc>
          <w:tcPr>
            <w:tcW w:w="405" w:type="dxa"/>
          </w:tcPr>
          <w:p w:rsidR="00000000" w:rsidRDefault="00721107">
            <w:pPr>
              <w:spacing w:line="360" w:lineRule="auto"/>
              <w:jc w:val="distribute"/>
              <w:rPr>
                <w:rFonts w:ascii="楷体_GB2312" w:eastAsia="楷体_GB2312" w:hAnsi="楷体_GB2312" w:hint="eastAsia"/>
                <w:sz w:val="32"/>
                <w:szCs w:val="22"/>
              </w:rPr>
            </w:pPr>
            <w:r>
              <w:rPr>
                <w:rFonts w:ascii="楷体_GB2312" w:eastAsia="楷体_GB2312" w:hAnsi="楷体_GB2312" w:hint="eastAsia"/>
                <w:sz w:val="32"/>
                <w:szCs w:val="22"/>
              </w:rPr>
              <w:t>：</w:t>
            </w:r>
          </w:p>
        </w:tc>
        <w:tc>
          <w:tcPr>
            <w:tcW w:w="4240" w:type="dxa"/>
          </w:tcPr>
          <w:p w:rsidR="00000000" w:rsidRDefault="00721107">
            <w:pPr>
              <w:spacing w:line="360" w:lineRule="auto"/>
              <w:rPr>
                <w:rFonts w:ascii="楷体_GB2312" w:eastAsia="楷体_GB2312" w:hAnsi="楷体_GB2312"/>
                <w:sz w:val="32"/>
              </w:rPr>
            </w:pPr>
          </w:p>
        </w:tc>
      </w:tr>
      <w:tr w:rsidR="00000000">
        <w:trPr>
          <w:jc w:val="center"/>
        </w:trPr>
        <w:tc>
          <w:tcPr>
            <w:tcW w:w="3580" w:type="dxa"/>
          </w:tcPr>
          <w:p w:rsidR="00000000" w:rsidRDefault="00721107">
            <w:pPr>
              <w:spacing w:line="360" w:lineRule="auto"/>
              <w:jc w:val="distribute"/>
              <w:rPr>
                <w:rFonts w:ascii="楷体_GB2312" w:eastAsia="楷体_GB2312" w:hAnsi="楷体_GB2312" w:hint="eastAsia"/>
                <w:sz w:val="32"/>
                <w:szCs w:val="22"/>
              </w:rPr>
            </w:pPr>
            <w:r>
              <w:rPr>
                <w:rFonts w:ascii="楷体_GB2312" w:eastAsia="楷体_GB2312" w:hAnsi="楷体_GB2312" w:hint="eastAsia"/>
                <w:sz w:val="32"/>
                <w:szCs w:val="22"/>
              </w:rPr>
              <w:t>机构联系人及手机</w:t>
            </w:r>
          </w:p>
        </w:tc>
        <w:tc>
          <w:tcPr>
            <w:tcW w:w="405" w:type="dxa"/>
          </w:tcPr>
          <w:p w:rsidR="00000000" w:rsidRDefault="00721107">
            <w:pPr>
              <w:spacing w:line="360" w:lineRule="auto"/>
              <w:jc w:val="distribute"/>
              <w:rPr>
                <w:rFonts w:ascii="楷体_GB2312" w:eastAsia="楷体_GB2312" w:hAnsi="楷体_GB2312" w:hint="eastAsia"/>
                <w:sz w:val="32"/>
                <w:szCs w:val="22"/>
              </w:rPr>
            </w:pPr>
            <w:r>
              <w:rPr>
                <w:rFonts w:ascii="楷体_GB2312" w:eastAsia="楷体_GB2312" w:hAnsi="楷体_GB2312" w:hint="eastAsia"/>
                <w:sz w:val="32"/>
                <w:szCs w:val="22"/>
              </w:rPr>
              <w:t>：</w:t>
            </w:r>
          </w:p>
        </w:tc>
        <w:tc>
          <w:tcPr>
            <w:tcW w:w="4240" w:type="dxa"/>
          </w:tcPr>
          <w:p w:rsidR="00000000" w:rsidRDefault="00721107">
            <w:pPr>
              <w:spacing w:line="360" w:lineRule="auto"/>
              <w:jc w:val="distribute"/>
              <w:rPr>
                <w:rFonts w:ascii="楷体_GB2312" w:eastAsia="楷体_GB2312" w:hAnsi="楷体_GB2312" w:hint="eastAsia"/>
                <w:sz w:val="32"/>
                <w:szCs w:val="22"/>
              </w:rPr>
            </w:pPr>
          </w:p>
        </w:tc>
      </w:tr>
      <w:tr w:rsidR="00000000">
        <w:trPr>
          <w:jc w:val="center"/>
        </w:trPr>
        <w:tc>
          <w:tcPr>
            <w:tcW w:w="3580" w:type="dxa"/>
          </w:tcPr>
          <w:p w:rsidR="00000000" w:rsidRDefault="00721107">
            <w:pPr>
              <w:spacing w:line="360" w:lineRule="auto"/>
              <w:jc w:val="distribute"/>
              <w:rPr>
                <w:rFonts w:ascii="楷体_GB2312" w:eastAsia="楷体_GB2312" w:hAnsi="楷体_GB2312" w:hint="eastAsia"/>
                <w:sz w:val="32"/>
                <w:szCs w:val="22"/>
              </w:rPr>
            </w:pPr>
            <w:r>
              <w:rPr>
                <w:rFonts w:ascii="楷体_GB2312" w:eastAsia="楷体_GB2312" w:hAnsi="楷体_GB2312" w:hint="eastAsia"/>
                <w:sz w:val="32"/>
                <w:szCs w:val="22"/>
              </w:rPr>
              <w:t>电子邮箱</w:t>
            </w:r>
          </w:p>
        </w:tc>
        <w:tc>
          <w:tcPr>
            <w:tcW w:w="405" w:type="dxa"/>
          </w:tcPr>
          <w:p w:rsidR="00000000" w:rsidRDefault="00721107">
            <w:pPr>
              <w:spacing w:line="360" w:lineRule="auto"/>
              <w:jc w:val="distribute"/>
              <w:rPr>
                <w:rFonts w:ascii="楷体_GB2312" w:eastAsia="楷体_GB2312" w:hAnsi="楷体_GB2312" w:hint="eastAsia"/>
                <w:sz w:val="32"/>
                <w:szCs w:val="22"/>
              </w:rPr>
            </w:pPr>
            <w:r>
              <w:rPr>
                <w:rFonts w:ascii="楷体_GB2312" w:eastAsia="楷体_GB2312" w:hAnsi="楷体_GB2312" w:hint="eastAsia"/>
                <w:sz w:val="32"/>
                <w:szCs w:val="22"/>
              </w:rPr>
              <w:t>：</w:t>
            </w:r>
          </w:p>
        </w:tc>
        <w:tc>
          <w:tcPr>
            <w:tcW w:w="4240" w:type="dxa"/>
          </w:tcPr>
          <w:p w:rsidR="00000000" w:rsidRDefault="00721107">
            <w:pPr>
              <w:spacing w:line="360" w:lineRule="auto"/>
              <w:jc w:val="distribute"/>
              <w:rPr>
                <w:rFonts w:ascii="楷体_GB2312" w:eastAsia="楷体_GB2312" w:hAnsi="楷体_GB2312" w:hint="eastAsia"/>
                <w:sz w:val="32"/>
                <w:szCs w:val="22"/>
              </w:rPr>
            </w:pPr>
          </w:p>
        </w:tc>
      </w:tr>
    </w:tbl>
    <w:p w:rsidR="00000000" w:rsidRDefault="00721107">
      <w:pPr>
        <w:spacing w:line="360" w:lineRule="auto"/>
        <w:rPr>
          <w:sz w:val="32"/>
        </w:rPr>
      </w:pPr>
    </w:p>
    <w:p w:rsidR="00000000" w:rsidRDefault="00721107">
      <w:pPr>
        <w:spacing w:line="360" w:lineRule="auto"/>
        <w:rPr>
          <w:sz w:val="32"/>
        </w:rPr>
      </w:pPr>
    </w:p>
    <w:p w:rsidR="00000000" w:rsidRDefault="00721107">
      <w:pPr>
        <w:spacing w:line="360" w:lineRule="auto"/>
        <w:rPr>
          <w:sz w:val="32"/>
        </w:rPr>
      </w:pPr>
    </w:p>
    <w:p w:rsidR="00000000" w:rsidRDefault="00721107">
      <w:pPr>
        <w:spacing w:line="360" w:lineRule="auto"/>
        <w:jc w:val="center"/>
        <w:rPr>
          <w:rFonts w:ascii="楷体_GB2312" w:eastAsia="楷体_GB2312"/>
          <w:sz w:val="36"/>
        </w:rPr>
      </w:pPr>
      <w:r>
        <w:rPr>
          <w:rFonts w:ascii="楷体_GB2312" w:eastAsia="楷体_GB2312" w:hint="eastAsia"/>
          <w:sz w:val="36"/>
        </w:rPr>
        <w:t>中华人民共和国工业和信息化部制</w:t>
      </w:r>
    </w:p>
    <w:p w:rsidR="00000000" w:rsidRDefault="00721107">
      <w:pPr>
        <w:spacing w:line="360" w:lineRule="auto"/>
        <w:jc w:val="center"/>
        <w:rPr>
          <w:rFonts w:ascii="楷体_GB2312" w:eastAsia="楷体_GB2312"/>
          <w:sz w:val="36"/>
        </w:rPr>
      </w:pPr>
      <w:r>
        <w:rPr>
          <w:rFonts w:ascii="楷体_GB2312" w:eastAsia="楷体_GB2312"/>
          <w:sz w:val="36"/>
        </w:rPr>
        <w:t xml:space="preserve">20  </w:t>
      </w:r>
      <w:r>
        <w:rPr>
          <w:rFonts w:ascii="楷体_GB2312" w:eastAsia="楷体_GB2312" w:hint="eastAsia"/>
          <w:sz w:val="36"/>
        </w:rPr>
        <w:t>年</w:t>
      </w:r>
      <w:r>
        <w:rPr>
          <w:rFonts w:ascii="楷体_GB2312" w:eastAsia="楷体_GB2312"/>
          <w:sz w:val="36"/>
        </w:rPr>
        <w:t xml:space="preserve">  </w:t>
      </w:r>
      <w:r>
        <w:rPr>
          <w:rFonts w:ascii="楷体_GB2312" w:eastAsia="楷体_GB2312" w:hint="eastAsia"/>
          <w:sz w:val="36"/>
        </w:rPr>
        <w:t>月</w:t>
      </w:r>
      <w:r>
        <w:rPr>
          <w:rFonts w:ascii="楷体_GB2312" w:eastAsia="楷体_GB2312"/>
          <w:sz w:val="36"/>
        </w:rPr>
        <w:t xml:space="preserve">  </w:t>
      </w:r>
      <w:r>
        <w:rPr>
          <w:rFonts w:ascii="楷体_GB2312" w:eastAsia="楷体_GB2312" w:hint="eastAsia"/>
          <w:sz w:val="36"/>
        </w:rPr>
        <w:t>日</w:t>
      </w:r>
    </w:p>
    <w:p w:rsidR="00000000" w:rsidRDefault="00721107">
      <w:pPr>
        <w:pStyle w:val="a7"/>
        <w:spacing w:beforeLines="100" w:before="240" w:afterLines="100" w:after="240" w:line="360" w:lineRule="auto"/>
        <w:ind w:left="3154" w:right="3154"/>
        <w:jc w:val="center"/>
        <w:rPr>
          <w:rFonts w:ascii="仿宋_GB2312" w:eastAsia="仿宋_GB2312" w:hint="eastAsia"/>
        </w:rPr>
        <w:sectPr w:rsidR="00000000">
          <w:footerReference w:type="even" r:id="rId7"/>
          <w:footerReference w:type="default" r:id="rId8"/>
          <w:pgSz w:w="11910" w:h="16840"/>
          <w:pgMar w:top="1440" w:right="1800" w:bottom="1440" w:left="1800" w:header="720" w:footer="720" w:gutter="0"/>
          <w:cols w:space="720"/>
        </w:sectPr>
      </w:pPr>
    </w:p>
    <w:p w:rsidR="00000000" w:rsidRDefault="00721107">
      <w:pPr>
        <w:pStyle w:val="a7"/>
        <w:spacing w:beforeLines="100" w:before="312" w:afterLines="100" w:after="312" w:line="360" w:lineRule="auto"/>
        <w:ind w:left="3154" w:right="3154"/>
        <w:jc w:val="center"/>
        <w:rPr>
          <w:rFonts w:ascii="黑体" w:eastAsia="黑体" w:hAnsi="黑体" w:cs="黑体"/>
          <w:bCs/>
          <w:sz w:val="36"/>
          <w:szCs w:val="36"/>
          <w:lang w:eastAsia="zh-CN"/>
        </w:rPr>
      </w:pPr>
      <w:r>
        <w:rPr>
          <w:rFonts w:ascii="黑体" w:eastAsia="黑体" w:hAnsi="黑体" w:cs="黑体" w:hint="eastAsia"/>
          <w:bCs/>
          <w:sz w:val="36"/>
          <w:szCs w:val="36"/>
          <w:lang w:eastAsia="zh-CN"/>
        </w:rPr>
        <w:lastRenderedPageBreak/>
        <w:t>基本信息表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85" w:type="dxa"/>
          <w:bottom w:w="113" w:type="dxa"/>
          <w:right w:w="85" w:type="dxa"/>
        </w:tblCellMar>
        <w:tblLook w:val="0000" w:firstRow="0" w:lastRow="0" w:firstColumn="0" w:lastColumn="0" w:noHBand="0" w:noVBand="0"/>
      </w:tblPr>
      <w:tblGrid>
        <w:gridCol w:w="2355"/>
        <w:gridCol w:w="2148"/>
        <w:gridCol w:w="1912"/>
        <w:gridCol w:w="2107"/>
      </w:tblGrid>
      <w:tr w:rsidR="00000000">
        <w:trPr>
          <w:cantSplit/>
          <w:trHeight w:val="23"/>
          <w:jc w:val="center"/>
        </w:trPr>
        <w:tc>
          <w:tcPr>
            <w:tcW w:w="8522" w:type="dxa"/>
            <w:gridSpan w:val="4"/>
            <w:vAlign w:val="center"/>
          </w:tcPr>
          <w:p w:rsidR="00000000" w:rsidRDefault="00721107">
            <w:pPr>
              <w:pStyle w:val="TableParagraph"/>
              <w:snapToGrid w:val="0"/>
              <w:jc w:val="both"/>
              <w:rPr>
                <w:rFonts w:ascii="仿宋_GB2312" w:eastAsia="仿宋_GB2312" w:hAnsi="宋体" w:cs="Times New Roman"/>
                <w:b/>
                <w:sz w:val="24"/>
                <w:szCs w:val="20"/>
                <w:lang w:eastAsia="zh-CN"/>
              </w:rPr>
            </w:pPr>
            <w:r>
              <w:rPr>
                <w:rFonts w:ascii="仿宋_GB2312" w:eastAsia="仿宋_GB2312" w:hAnsi="宋体" w:cs="Times New Roman" w:hint="eastAsia"/>
                <w:b/>
                <w:sz w:val="24"/>
                <w:szCs w:val="20"/>
                <w:lang w:eastAsia="zh-CN"/>
              </w:rPr>
              <w:t>一、数据中心基本信息</w:t>
            </w: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hint="eastAsia"/>
                <w:sz w:val="24"/>
                <w:szCs w:val="20"/>
                <w:lang w:eastAsia="zh-CN"/>
              </w:rPr>
              <w:t>申请单位</w:t>
            </w:r>
          </w:p>
        </w:tc>
        <w:tc>
          <w:tcPr>
            <w:tcW w:w="6167" w:type="dxa"/>
            <w:gridSpan w:val="3"/>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hint="eastAsia"/>
                <w:sz w:val="24"/>
                <w:szCs w:val="20"/>
                <w:lang w:eastAsia="zh-CN"/>
              </w:rPr>
            </w:pPr>
            <w:r>
              <w:rPr>
                <w:rFonts w:ascii="仿宋_GB2312" w:eastAsia="仿宋_GB2312" w:hAnsi="宋体" w:cs="Times New Roman" w:hint="eastAsia"/>
                <w:sz w:val="24"/>
                <w:szCs w:val="20"/>
                <w:lang w:eastAsia="zh-CN"/>
              </w:rPr>
              <w:t>数据中心</w:t>
            </w:r>
            <w:r>
              <w:rPr>
                <w:rFonts w:ascii="仿宋_GB2312" w:eastAsia="仿宋_GB2312" w:hAnsi="宋体" w:cs="Times New Roman"/>
                <w:sz w:val="24"/>
                <w:szCs w:val="20"/>
                <w:lang w:eastAsia="zh-CN"/>
              </w:rPr>
              <w:t>名称</w:t>
            </w:r>
          </w:p>
        </w:tc>
        <w:tc>
          <w:tcPr>
            <w:tcW w:w="6167" w:type="dxa"/>
            <w:gridSpan w:val="3"/>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hint="eastAsia"/>
                <w:sz w:val="24"/>
                <w:szCs w:val="20"/>
                <w:lang w:eastAsia="zh-CN"/>
              </w:rPr>
              <w:t>数据中心</w:t>
            </w:r>
            <w:r>
              <w:rPr>
                <w:rFonts w:ascii="仿宋_GB2312" w:eastAsia="仿宋_GB2312" w:hAnsi="宋体" w:cs="Times New Roman"/>
                <w:sz w:val="24"/>
                <w:szCs w:val="20"/>
                <w:lang w:eastAsia="zh-CN"/>
              </w:rPr>
              <w:t>地址</w:t>
            </w:r>
          </w:p>
        </w:tc>
        <w:tc>
          <w:tcPr>
            <w:tcW w:w="6167" w:type="dxa"/>
            <w:gridSpan w:val="3"/>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hint="eastAsia"/>
                <w:sz w:val="24"/>
                <w:szCs w:val="20"/>
                <w:lang w:eastAsia="zh-CN"/>
              </w:rPr>
              <w:t>数据中心</w:t>
            </w:r>
            <w:r>
              <w:rPr>
                <w:rFonts w:ascii="仿宋_GB2312" w:eastAsia="仿宋_GB2312" w:hAnsi="宋体" w:cs="Times New Roman"/>
                <w:sz w:val="24"/>
                <w:szCs w:val="20"/>
                <w:lang w:eastAsia="zh-CN"/>
              </w:rPr>
              <w:t>联系人</w:t>
            </w:r>
          </w:p>
        </w:tc>
        <w:tc>
          <w:tcPr>
            <w:tcW w:w="2148"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联系人电话</w:t>
            </w:r>
          </w:p>
        </w:tc>
        <w:tc>
          <w:tcPr>
            <w:tcW w:w="2107"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电子邮件</w:t>
            </w:r>
          </w:p>
        </w:tc>
        <w:tc>
          <w:tcPr>
            <w:tcW w:w="2148"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传真</w:t>
            </w:r>
          </w:p>
        </w:tc>
        <w:tc>
          <w:tcPr>
            <w:tcW w:w="2107"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8522" w:type="dxa"/>
            <w:gridSpan w:val="4"/>
            <w:vAlign w:val="center"/>
          </w:tcPr>
          <w:p w:rsidR="00000000" w:rsidRDefault="00721107">
            <w:pPr>
              <w:pStyle w:val="TableParagraph"/>
              <w:snapToGrid w:val="0"/>
              <w:jc w:val="both"/>
              <w:rPr>
                <w:rFonts w:ascii="仿宋_GB2312" w:eastAsia="仿宋_GB2312" w:hAnsi="宋体" w:cs="Times New Roman"/>
                <w:b/>
                <w:sz w:val="24"/>
                <w:szCs w:val="20"/>
                <w:lang w:eastAsia="zh-CN"/>
              </w:rPr>
            </w:pPr>
            <w:r>
              <w:rPr>
                <w:rFonts w:ascii="仿宋_GB2312" w:eastAsia="仿宋_GB2312" w:hAnsi="宋体" w:cs="Times New Roman" w:hint="eastAsia"/>
                <w:b/>
                <w:sz w:val="24"/>
                <w:szCs w:val="20"/>
                <w:lang w:eastAsia="zh-CN"/>
              </w:rPr>
              <w:t>二、第三方机构信息</w:t>
            </w: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第三方机构名称</w:t>
            </w:r>
          </w:p>
        </w:tc>
        <w:tc>
          <w:tcPr>
            <w:tcW w:w="6167" w:type="dxa"/>
            <w:gridSpan w:val="3"/>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第三方机构地址</w:t>
            </w:r>
          </w:p>
        </w:tc>
        <w:tc>
          <w:tcPr>
            <w:tcW w:w="6167" w:type="dxa"/>
            <w:gridSpan w:val="3"/>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hint="eastAsia"/>
                <w:sz w:val="24"/>
                <w:szCs w:val="20"/>
                <w:lang w:eastAsia="zh-CN"/>
              </w:rPr>
              <w:t>统一社会信用代码</w:t>
            </w:r>
          </w:p>
        </w:tc>
        <w:tc>
          <w:tcPr>
            <w:tcW w:w="6167" w:type="dxa"/>
            <w:gridSpan w:val="3"/>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机构法定代表人</w:t>
            </w:r>
          </w:p>
        </w:tc>
        <w:tc>
          <w:tcPr>
            <w:tcW w:w="2148"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法定代表人电话</w:t>
            </w:r>
          </w:p>
        </w:tc>
        <w:tc>
          <w:tcPr>
            <w:tcW w:w="2107"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机构联系人</w:t>
            </w:r>
          </w:p>
        </w:tc>
        <w:tc>
          <w:tcPr>
            <w:tcW w:w="2148"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联系人电话</w:t>
            </w:r>
          </w:p>
        </w:tc>
        <w:tc>
          <w:tcPr>
            <w:tcW w:w="2107"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报告编制负责人</w:t>
            </w:r>
          </w:p>
        </w:tc>
        <w:tc>
          <w:tcPr>
            <w:tcW w:w="2148"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负责人电话</w:t>
            </w:r>
          </w:p>
        </w:tc>
        <w:tc>
          <w:tcPr>
            <w:tcW w:w="2107"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2355"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报告审核人</w:t>
            </w:r>
          </w:p>
        </w:tc>
        <w:tc>
          <w:tcPr>
            <w:tcW w:w="2148"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审核人电话</w:t>
            </w:r>
          </w:p>
        </w:tc>
        <w:tc>
          <w:tcPr>
            <w:tcW w:w="2107" w:type="dxa"/>
            <w:vAlign w:val="center"/>
          </w:tcPr>
          <w:p w:rsidR="00000000" w:rsidRDefault="00721107">
            <w:pPr>
              <w:pStyle w:val="TableParagraph"/>
              <w:snapToGrid w:val="0"/>
              <w:jc w:val="center"/>
              <w:rPr>
                <w:rFonts w:ascii="仿宋_GB2312" w:eastAsia="仿宋_GB2312" w:hAnsi="宋体" w:cs="Times New Roman"/>
                <w:sz w:val="24"/>
                <w:szCs w:val="20"/>
                <w:lang w:eastAsia="zh-CN"/>
              </w:rPr>
            </w:pPr>
          </w:p>
        </w:tc>
      </w:tr>
      <w:tr w:rsidR="00000000">
        <w:trPr>
          <w:cantSplit/>
          <w:trHeight w:val="23"/>
          <w:jc w:val="center"/>
        </w:trPr>
        <w:tc>
          <w:tcPr>
            <w:tcW w:w="8522" w:type="dxa"/>
            <w:gridSpan w:val="4"/>
            <w:vAlign w:val="center"/>
          </w:tcPr>
          <w:p w:rsidR="00000000" w:rsidRDefault="00721107">
            <w:pPr>
              <w:pStyle w:val="TableParagraph"/>
              <w:snapToGrid w:val="0"/>
              <w:jc w:val="both"/>
              <w:rPr>
                <w:rFonts w:ascii="仿宋_GB2312" w:eastAsia="仿宋_GB2312" w:hAnsi="宋体" w:cs="Times New Roman"/>
                <w:b/>
                <w:sz w:val="24"/>
                <w:szCs w:val="20"/>
                <w:lang w:eastAsia="zh-CN"/>
              </w:rPr>
            </w:pPr>
            <w:r>
              <w:rPr>
                <w:rFonts w:ascii="仿宋_GB2312" w:eastAsia="仿宋_GB2312" w:hAnsi="宋体" w:cs="Times New Roman" w:hint="eastAsia"/>
                <w:b/>
                <w:sz w:val="24"/>
                <w:szCs w:val="20"/>
                <w:lang w:eastAsia="zh-CN"/>
              </w:rPr>
              <w:t>三、绿色数据中心评价结果</w:t>
            </w:r>
          </w:p>
        </w:tc>
      </w:tr>
      <w:tr w:rsidR="00000000">
        <w:trPr>
          <w:cantSplit/>
          <w:trHeight w:val="90"/>
          <w:jc w:val="center"/>
        </w:trPr>
        <w:tc>
          <w:tcPr>
            <w:tcW w:w="2355" w:type="dxa"/>
            <w:vAlign w:val="center"/>
          </w:tcPr>
          <w:p w:rsidR="00000000" w:rsidRDefault="00721107">
            <w:pPr>
              <w:pStyle w:val="TableParagraph"/>
              <w:jc w:val="center"/>
              <w:rPr>
                <w:rFonts w:ascii="仿宋_GB2312" w:eastAsia="仿宋_GB2312" w:hAnsi="宋体" w:cs="Times New Roman"/>
                <w:sz w:val="24"/>
                <w:szCs w:val="20"/>
                <w:lang w:eastAsia="zh-CN"/>
              </w:rPr>
            </w:pPr>
            <w:r>
              <w:rPr>
                <w:rFonts w:ascii="仿宋_GB2312" w:eastAsia="仿宋_GB2312" w:hAnsi="宋体" w:cs="Times New Roman" w:hint="eastAsia"/>
                <w:sz w:val="24"/>
                <w:szCs w:val="20"/>
                <w:lang w:eastAsia="zh-CN"/>
              </w:rPr>
              <w:t>评价</w:t>
            </w:r>
            <w:r>
              <w:rPr>
                <w:rFonts w:ascii="仿宋_GB2312" w:eastAsia="仿宋_GB2312" w:hAnsi="宋体" w:cs="Times New Roman"/>
                <w:sz w:val="24"/>
                <w:szCs w:val="20"/>
                <w:lang w:eastAsia="zh-CN"/>
              </w:rPr>
              <w:t>得分</w:t>
            </w:r>
          </w:p>
        </w:tc>
        <w:tc>
          <w:tcPr>
            <w:tcW w:w="6167" w:type="dxa"/>
            <w:gridSpan w:val="3"/>
            <w:vAlign w:val="center"/>
          </w:tcPr>
          <w:p w:rsidR="00000000" w:rsidRDefault="00721107">
            <w:pPr>
              <w:pStyle w:val="TableParagraph"/>
              <w:jc w:val="both"/>
              <w:rPr>
                <w:rFonts w:ascii="仿宋_GB2312" w:eastAsia="仿宋_GB2312" w:hAnsi="宋体" w:cs="Times New Roman"/>
                <w:sz w:val="24"/>
                <w:szCs w:val="20"/>
                <w:lang w:eastAsia="zh-CN"/>
              </w:rPr>
            </w:pPr>
          </w:p>
        </w:tc>
      </w:tr>
      <w:tr w:rsidR="00000000">
        <w:trPr>
          <w:cantSplit/>
          <w:trHeight w:val="23"/>
          <w:jc w:val="center"/>
        </w:trPr>
        <w:tc>
          <w:tcPr>
            <w:tcW w:w="8522" w:type="dxa"/>
            <w:gridSpan w:val="4"/>
          </w:tcPr>
          <w:p w:rsidR="00000000" w:rsidRDefault="00721107">
            <w:pPr>
              <w:pStyle w:val="TableParagraph"/>
              <w:spacing w:line="220" w:lineRule="auto"/>
              <w:ind w:left="107" w:right="-29" w:firstLine="480"/>
              <w:rPr>
                <w:rFonts w:ascii="仿宋_GB2312" w:eastAsia="仿宋_GB2312" w:hAnsi="宋体" w:cs="Times New Roman"/>
                <w:sz w:val="24"/>
                <w:szCs w:val="20"/>
                <w:lang w:eastAsia="zh-CN"/>
              </w:rPr>
            </w:pPr>
          </w:p>
          <w:p w:rsidR="00000000" w:rsidRDefault="00721107">
            <w:pPr>
              <w:pStyle w:val="TableParagraph"/>
              <w:spacing w:line="360" w:lineRule="auto"/>
              <w:ind w:left="107" w:right="-29" w:firstLine="480"/>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本机构承诺，已对申请单位材料进行了全面审核，材料真实有效，第三方评价程序规范完整，结论客观公正。评价报告若存在弄虚作假，本机构愿承担责任。</w:t>
            </w:r>
          </w:p>
          <w:p w:rsidR="00000000" w:rsidRDefault="00721107">
            <w:pPr>
              <w:pStyle w:val="TableParagraph"/>
              <w:ind w:left="5174"/>
              <w:rPr>
                <w:rFonts w:ascii="仿宋_GB2312" w:eastAsia="仿宋_GB2312" w:hAnsi="宋体" w:cs="Times New Roman"/>
                <w:sz w:val="24"/>
                <w:szCs w:val="20"/>
                <w:lang w:eastAsia="zh-CN"/>
              </w:rPr>
            </w:pPr>
          </w:p>
          <w:p w:rsidR="00000000" w:rsidRDefault="00721107">
            <w:pPr>
              <w:widowControl/>
              <w:wordWrap w:val="0"/>
              <w:jc w:val="right"/>
              <w:rPr>
                <w:rFonts w:eastAsia="仿宋_GB2312"/>
                <w:b/>
                <w:kern w:val="0"/>
                <w:sz w:val="24"/>
              </w:rPr>
            </w:pPr>
            <w:r>
              <w:rPr>
                <w:rFonts w:eastAsia="仿宋_GB2312"/>
                <w:b/>
                <w:kern w:val="0"/>
                <w:sz w:val="24"/>
              </w:rPr>
              <w:t>法定代表人签字：</w:t>
            </w:r>
            <w:r>
              <w:rPr>
                <w:rFonts w:eastAsia="仿宋_GB2312"/>
                <w:b/>
                <w:kern w:val="0"/>
                <w:sz w:val="24"/>
              </w:rPr>
              <w:t xml:space="preserve">       </w:t>
            </w:r>
          </w:p>
          <w:p w:rsidR="00000000" w:rsidRDefault="00721107">
            <w:pPr>
              <w:widowControl/>
              <w:ind w:leftChars="2911" w:left="6113"/>
              <w:rPr>
                <w:rFonts w:eastAsia="仿宋_GB2312"/>
                <w:b/>
                <w:kern w:val="0"/>
                <w:sz w:val="24"/>
              </w:rPr>
            </w:pPr>
            <w:r>
              <w:rPr>
                <w:rFonts w:eastAsia="仿宋_GB2312"/>
                <w:b/>
                <w:kern w:val="0"/>
                <w:sz w:val="24"/>
              </w:rPr>
              <w:t>（盖章）</w:t>
            </w:r>
            <w:r>
              <w:rPr>
                <w:rFonts w:eastAsia="仿宋_GB2312" w:hint="eastAsia"/>
                <w:b/>
                <w:kern w:val="0"/>
                <w:sz w:val="24"/>
              </w:rPr>
              <w:t xml:space="preserve"> </w:t>
            </w:r>
          </w:p>
          <w:p w:rsidR="00000000" w:rsidRDefault="00721107">
            <w:pPr>
              <w:pStyle w:val="TableParagraph"/>
              <w:wordWrap w:val="0"/>
              <w:jc w:val="right"/>
              <w:rPr>
                <w:rFonts w:ascii="仿宋_GB2312" w:eastAsia="仿宋_GB2312" w:hAnsi="宋体" w:cs="Times New Roman"/>
                <w:sz w:val="24"/>
                <w:szCs w:val="20"/>
                <w:lang w:eastAsia="zh-CN"/>
              </w:rPr>
            </w:pPr>
            <w:r>
              <w:rPr>
                <w:rFonts w:ascii="Times New Roman" w:eastAsia="仿宋_GB2312" w:hAnsi="Times New Roman"/>
                <w:b/>
                <w:sz w:val="24"/>
              </w:rPr>
              <w:t>日期：</w:t>
            </w:r>
            <w:r>
              <w:rPr>
                <w:rFonts w:ascii="仿宋_GB2312" w:eastAsia="仿宋_GB2312" w:hAnsi="宋体" w:cs="Times New Roman" w:hint="eastAsia"/>
                <w:sz w:val="24"/>
                <w:szCs w:val="20"/>
                <w:lang w:eastAsia="zh-CN"/>
              </w:rPr>
              <w:t xml:space="preserve">              </w:t>
            </w:r>
          </w:p>
          <w:p w:rsidR="00000000" w:rsidRDefault="00721107">
            <w:pPr>
              <w:pStyle w:val="TableParagraph"/>
              <w:ind w:left="5294"/>
              <w:rPr>
                <w:rFonts w:ascii="仿宋_GB2312" w:eastAsia="仿宋_GB2312" w:hAnsi="宋体" w:cs="Times New Roman"/>
                <w:sz w:val="24"/>
                <w:szCs w:val="20"/>
                <w:lang w:eastAsia="zh-CN"/>
              </w:rPr>
            </w:pPr>
          </w:p>
        </w:tc>
      </w:tr>
    </w:tbl>
    <w:p w:rsidR="00000000" w:rsidRDefault="00721107">
      <w:pPr>
        <w:rPr>
          <w:rFonts w:ascii="宋体" w:hAnsi="宋体"/>
          <w:sz w:val="24"/>
        </w:rPr>
        <w:sectPr w:rsidR="00000000">
          <w:footerReference w:type="even" r:id="rId9"/>
          <w:footerReference w:type="default" r:id="rId10"/>
          <w:pgSz w:w="11910" w:h="16840"/>
          <w:pgMar w:top="1440" w:right="1800" w:bottom="1440" w:left="1800" w:header="720" w:footer="720" w:gutter="0"/>
          <w:pgNumType w:start="1"/>
          <w:cols w:space="720"/>
          <w:docGrid w:type="lines" w:linePitch="312"/>
        </w:sectPr>
      </w:pPr>
    </w:p>
    <w:p w:rsidR="00000000" w:rsidRDefault="00721107">
      <w:pPr>
        <w:widowControl/>
        <w:jc w:val="center"/>
        <w:rPr>
          <w:rFonts w:eastAsia="黑体"/>
          <w:bCs/>
          <w:sz w:val="36"/>
          <w:szCs w:val="36"/>
        </w:rPr>
      </w:pPr>
    </w:p>
    <w:p w:rsidR="00000000" w:rsidRDefault="00721107">
      <w:pPr>
        <w:widowControl/>
        <w:jc w:val="center"/>
        <w:rPr>
          <w:rFonts w:eastAsia="黑体"/>
          <w:bCs/>
          <w:sz w:val="36"/>
          <w:szCs w:val="36"/>
        </w:rPr>
      </w:pPr>
      <w:r>
        <w:rPr>
          <w:rFonts w:eastAsia="黑体"/>
          <w:bCs/>
          <w:sz w:val="36"/>
          <w:szCs w:val="36"/>
        </w:rPr>
        <w:t>绿色数据中心评价报告（模板）</w:t>
      </w:r>
    </w:p>
    <w:p w:rsidR="00000000" w:rsidRDefault="00721107">
      <w:pPr>
        <w:widowControl/>
        <w:jc w:val="center"/>
        <w:rPr>
          <w:b/>
          <w:sz w:val="40"/>
        </w:rPr>
      </w:pPr>
    </w:p>
    <w:p w:rsidR="00000000" w:rsidRDefault="00721107">
      <w:pPr>
        <w:pStyle w:val="5"/>
        <w:spacing w:line="360" w:lineRule="auto"/>
        <w:ind w:firstLine="640"/>
        <w:rPr>
          <w:rFonts w:eastAsia="黑体"/>
          <w:bCs/>
          <w:sz w:val="32"/>
        </w:rPr>
      </w:pPr>
      <w:r>
        <w:rPr>
          <w:rFonts w:eastAsia="黑体"/>
          <w:bCs/>
          <w:sz w:val="32"/>
        </w:rPr>
        <w:t>一、概述</w:t>
      </w:r>
    </w:p>
    <w:p w:rsidR="00000000" w:rsidRDefault="00721107">
      <w:pPr>
        <w:widowControl/>
        <w:spacing w:line="360" w:lineRule="auto"/>
        <w:ind w:firstLineChars="200" w:firstLine="640"/>
        <w:rPr>
          <w:rFonts w:eastAsia="仿宋_GB2312"/>
          <w:sz w:val="32"/>
        </w:rPr>
      </w:pPr>
      <w:r>
        <w:rPr>
          <w:rFonts w:eastAsia="仿宋_GB2312"/>
          <w:sz w:val="32"/>
        </w:rPr>
        <w:t>主要介绍绿色数据中心评价的目的、范围及准则。</w:t>
      </w:r>
    </w:p>
    <w:p w:rsidR="00000000" w:rsidRDefault="00721107">
      <w:pPr>
        <w:pStyle w:val="5"/>
        <w:spacing w:line="360" w:lineRule="auto"/>
        <w:ind w:firstLine="640"/>
        <w:rPr>
          <w:rFonts w:eastAsia="黑体"/>
          <w:bCs/>
          <w:sz w:val="32"/>
        </w:rPr>
      </w:pPr>
      <w:r>
        <w:rPr>
          <w:rFonts w:eastAsia="黑体"/>
          <w:bCs/>
          <w:sz w:val="32"/>
        </w:rPr>
        <w:t>二、评价过程和方法</w:t>
      </w:r>
    </w:p>
    <w:p w:rsidR="00000000" w:rsidRDefault="00721107">
      <w:pPr>
        <w:widowControl/>
        <w:spacing w:line="360" w:lineRule="auto"/>
        <w:ind w:firstLineChars="200" w:firstLine="640"/>
        <w:rPr>
          <w:rFonts w:eastAsia="仿宋_GB2312"/>
          <w:sz w:val="32"/>
        </w:rPr>
      </w:pPr>
      <w:r>
        <w:rPr>
          <w:rFonts w:eastAsia="仿宋_GB2312"/>
          <w:sz w:val="32"/>
        </w:rPr>
        <w:t>主要</w:t>
      </w:r>
      <w:r>
        <w:rPr>
          <w:rFonts w:eastAsia="仿宋_GB2312" w:hint="eastAsia"/>
          <w:sz w:val="32"/>
        </w:rPr>
        <w:t>介绍</w:t>
      </w:r>
      <w:r>
        <w:rPr>
          <w:rFonts w:eastAsia="仿宋_GB2312"/>
          <w:sz w:val="32"/>
        </w:rPr>
        <w:t>评价组织安排、文件评审情况、现场评估情</w:t>
      </w:r>
      <w:r>
        <w:rPr>
          <w:rFonts w:eastAsia="仿宋_GB2312"/>
          <w:sz w:val="32"/>
        </w:rPr>
        <w:t>况、检测评估报告编写情况。</w:t>
      </w:r>
    </w:p>
    <w:p w:rsidR="00000000" w:rsidRDefault="00721107">
      <w:pPr>
        <w:pStyle w:val="5"/>
        <w:spacing w:line="360" w:lineRule="auto"/>
        <w:ind w:firstLine="640"/>
        <w:rPr>
          <w:rFonts w:eastAsia="黑体"/>
          <w:bCs/>
          <w:sz w:val="32"/>
        </w:rPr>
      </w:pPr>
      <w:r>
        <w:rPr>
          <w:rFonts w:eastAsia="黑体"/>
          <w:bCs/>
          <w:sz w:val="32"/>
        </w:rPr>
        <w:t>三、评价内容</w:t>
      </w:r>
    </w:p>
    <w:p w:rsidR="00000000" w:rsidRDefault="00721107">
      <w:pPr>
        <w:widowControl/>
        <w:numPr>
          <w:ilvl w:val="0"/>
          <w:numId w:val="1"/>
        </w:numPr>
        <w:spacing w:line="360" w:lineRule="auto"/>
        <w:ind w:firstLineChars="200" w:firstLine="640"/>
        <w:rPr>
          <w:rFonts w:eastAsia="仿宋_GB2312" w:hint="eastAsia"/>
          <w:kern w:val="0"/>
          <w:sz w:val="32"/>
          <w:szCs w:val="32"/>
        </w:rPr>
      </w:pPr>
      <w:r>
        <w:rPr>
          <w:rFonts w:eastAsia="仿宋_GB2312" w:hint="eastAsia"/>
          <w:kern w:val="0"/>
          <w:sz w:val="32"/>
          <w:szCs w:val="32"/>
        </w:rPr>
        <w:t>对申报数据中心申报基本要求符合性的核查情况。</w:t>
      </w:r>
    </w:p>
    <w:p w:rsidR="00000000" w:rsidRDefault="00721107">
      <w:pPr>
        <w:widowControl/>
        <w:numPr>
          <w:ilvl w:val="0"/>
          <w:numId w:val="1"/>
        </w:numPr>
        <w:spacing w:line="360" w:lineRule="auto"/>
        <w:ind w:firstLineChars="200" w:firstLine="640"/>
        <w:rPr>
          <w:rFonts w:eastAsia="仿宋_GB2312" w:hint="eastAsia"/>
          <w:kern w:val="0"/>
          <w:sz w:val="32"/>
          <w:szCs w:val="32"/>
        </w:rPr>
      </w:pPr>
      <w:r>
        <w:rPr>
          <w:rFonts w:eastAsia="仿宋_GB2312" w:hint="eastAsia"/>
          <w:sz w:val="32"/>
        </w:rPr>
        <w:t>对</w:t>
      </w:r>
      <w:r>
        <w:rPr>
          <w:rFonts w:eastAsia="仿宋_GB2312"/>
          <w:sz w:val="32"/>
        </w:rPr>
        <w:t>申报数据中心</w:t>
      </w:r>
      <w:r>
        <w:rPr>
          <w:rFonts w:eastAsia="仿宋_GB2312" w:hint="eastAsia"/>
          <w:kern w:val="0"/>
          <w:sz w:val="32"/>
          <w:szCs w:val="32"/>
        </w:rPr>
        <w:t>填写的自评价报告各项内容真实性的核查情况。</w:t>
      </w:r>
    </w:p>
    <w:p w:rsidR="00000000" w:rsidRDefault="00721107">
      <w:pPr>
        <w:widowControl/>
        <w:numPr>
          <w:ilvl w:val="0"/>
          <w:numId w:val="1"/>
        </w:numPr>
        <w:spacing w:line="360" w:lineRule="auto"/>
        <w:ind w:firstLineChars="200" w:firstLine="640"/>
        <w:rPr>
          <w:rFonts w:eastAsia="仿宋_GB2312"/>
          <w:sz w:val="32"/>
        </w:rPr>
      </w:pPr>
      <w:r>
        <w:rPr>
          <w:rFonts w:eastAsia="仿宋_GB2312"/>
          <w:sz w:val="32"/>
        </w:rPr>
        <w:t>依据</w:t>
      </w:r>
      <w:r>
        <w:rPr>
          <w:rFonts w:eastAsia="仿宋_GB2312" w:hint="eastAsia"/>
          <w:sz w:val="32"/>
        </w:rPr>
        <w:t>《</w:t>
      </w:r>
      <w:r>
        <w:rPr>
          <w:rFonts w:eastAsia="仿宋_GB2312"/>
          <w:sz w:val="32"/>
        </w:rPr>
        <w:t>绿色数据中心评价指标体系</w:t>
      </w:r>
      <w:r>
        <w:rPr>
          <w:rFonts w:eastAsia="仿宋_GB2312" w:hint="eastAsia"/>
          <w:sz w:val="32"/>
        </w:rPr>
        <w:t>》</w:t>
      </w:r>
      <w:r>
        <w:rPr>
          <w:rFonts w:eastAsia="仿宋_GB2312"/>
          <w:sz w:val="32"/>
        </w:rPr>
        <w:t>，检查相关计量设备</w:t>
      </w:r>
      <w:r>
        <w:rPr>
          <w:rFonts w:eastAsia="仿宋_GB2312" w:hint="eastAsia"/>
          <w:sz w:val="32"/>
        </w:rPr>
        <w:t>及单据，以及在此基础上</w:t>
      </w:r>
      <w:r>
        <w:rPr>
          <w:rFonts w:eastAsia="仿宋_GB2312"/>
          <w:sz w:val="32"/>
        </w:rPr>
        <w:t>核对电能利用效率（</w:t>
      </w:r>
      <w:r>
        <w:rPr>
          <w:rFonts w:eastAsia="仿宋_GB2312"/>
          <w:sz w:val="32"/>
        </w:rPr>
        <w:t>PUE)</w:t>
      </w:r>
      <w:r>
        <w:rPr>
          <w:rFonts w:eastAsia="仿宋_GB2312" w:hint="eastAsia"/>
          <w:sz w:val="32"/>
        </w:rPr>
        <w:t>、</w:t>
      </w:r>
      <w:r>
        <w:rPr>
          <w:rFonts w:eastAsia="仿宋_GB2312"/>
          <w:sz w:val="32"/>
        </w:rPr>
        <w:t>设计指标达标情况</w:t>
      </w:r>
      <w:r>
        <w:rPr>
          <w:rFonts w:eastAsia="仿宋_GB2312" w:hint="eastAsia"/>
          <w:sz w:val="32"/>
        </w:rPr>
        <w:t>、</w:t>
      </w:r>
      <w:r>
        <w:rPr>
          <w:rFonts w:eastAsia="仿宋_GB2312"/>
          <w:sz w:val="32"/>
        </w:rPr>
        <w:t>IT</w:t>
      </w:r>
      <w:r>
        <w:rPr>
          <w:rFonts w:eastAsia="仿宋_GB2312"/>
          <w:sz w:val="32"/>
        </w:rPr>
        <w:t>设备负荷使用率</w:t>
      </w:r>
      <w:r>
        <w:rPr>
          <w:rFonts w:eastAsia="仿宋_GB2312" w:hint="eastAsia"/>
          <w:sz w:val="32"/>
        </w:rPr>
        <w:t>、</w:t>
      </w:r>
      <w:r>
        <w:rPr>
          <w:rFonts w:eastAsia="仿宋_GB2312"/>
          <w:sz w:val="32"/>
        </w:rPr>
        <w:t>可再生能源使用比率</w:t>
      </w:r>
      <w:r>
        <w:rPr>
          <w:rFonts w:eastAsia="仿宋_GB2312" w:hint="eastAsia"/>
          <w:sz w:val="32"/>
        </w:rPr>
        <w:t>、</w:t>
      </w:r>
      <w:r>
        <w:rPr>
          <w:rFonts w:eastAsia="仿宋_GB2312"/>
          <w:sz w:val="32"/>
        </w:rPr>
        <w:t>水资源使用率</w:t>
      </w:r>
      <w:r>
        <w:rPr>
          <w:rFonts w:eastAsia="仿宋_GB2312" w:hint="eastAsia"/>
          <w:sz w:val="32"/>
        </w:rPr>
        <w:t>等指标</w:t>
      </w:r>
      <w:r>
        <w:rPr>
          <w:rFonts w:eastAsia="仿宋_GB2312" w:hint="eastAsia"/>
          <w:sz w:val="32"/>
        </w:rPr>
        <w:t>计算结果</w:t>
      </w:r>
      <w:r>
        <w:rPr>
          <w:rFonts w:eastAsia="仿宋_GB2312" w:hint="eastAsia"/>
          <w:sz w:val="32"/>
        </w:rPr>
        <w:t>的核查情况。</w:t>
      </w:r>
    </w:p>
    <w:p w:rsidR="00000000" w:rsidRDefault="00721107">
      <w:pPr>
        <w:widowControl/>
        <w:numPr>
          <w:ilvl w:val="0"/>
          <w:numId w:val="1"/>
        </w:numPr>
        <w:spacing w:line="360" w:lineRule="auto"/>
        <w:ind w:firstLineChars="200" w:firstLine="640"/>
        <w:rPr>
          <w:rFonts w:eastAsia="仿宋_GB2312"/>
          <w:sz w:val="32"/>
        </w:rPr>
      </w:pPr>
      <w:r>
        <w:rPr>
          <w:rFonts w:eastAsia="仿宋_GB2312"/>
          <w:sz w:val="32"/>
        </w:rPr>
        <w:t>对</w:t>
      </w:r>
      <w:r>
        <w:rPr>
          <w:rFonts w:eastAsia="仿宋_GB2312" w:hint="eastAsia"/>
          <w:sz w:val="32"/>
        </w:rPr>
        <w:t>申报数据中心的</w:t>
      </w:r>
      <w:r>
        <w:rPr>
          <w:rFonts w:eastAsia="仿宋_GB2312" w:hint="eastAsia"/>
          <w:kern w:val="0"/>
          <w:sz w:val="32"/>
          <w:szCs w:val="32"/>
        </w:rPr>
        <w:t>能源资源使用情况、绿色设计及绿色采购、能源资源使用管理、设备绿色管理和加分项等</w:t>
      </w:r>
      <w:r>
        <w:rPr>
          <w:rFonts w:eastAsia="仿宋_GB2312" w:hint="eastAsia"/>
          <w:kern w:val="0"/>
          <w:sz w:val="32"/>
          <w:szCs w:val="32"/>
        </w:rPr>
        <w:t>5</w:t>
      </w:r>
      <w:r>
        <w:rPr>
          <w:rFonts w:eastAsia="仿宋_GB2312" w:hint="eastAsia"/>
          <w:kern w:val="0"/>
          <w:sz w:val="32"/>
          <w:szCs w:val="32"/>
        </w:rPr>
        <w:t>个方面</w:t>
      </w:r>
      <w:r>
        <w:rPr>
          <w:rFonts w:eastAsia="仿宋_GB2312"/>
          <w:kern w:val="0"/>
          <w:sz w:val="32"/>
          <w:szCs w:val="32"/>
        </w:rPr>
        <w:t>、</w:t>
      </w:r>
      <w:r>
        <w:rPr>
          <w:rFonts w:eastAsia="仿宋_GB2312" w:hint="eastAsia"/>
          <w:kern w:val="0"/>
          <w:sz w:val="32"/>
          <w:szCs w:val="32"/>
        </w:rPr>
        <w:t>17</w:t>
      </w:r>
      <w:r>
        <w:rPr>
          <w:rFonts w:eastAsia="仿宋_GB2312" w:hint="eastAsia"/>
          <w:kern w:val="0"/>
          <w:sz w:val="32"/>
          <w:szCs w:val="32"/>
        </w:rPr>
        <w:t>个指标项</w:t>
      </w:r>
      <w:r>
        <w:rPr>
          <w:rFonts w:eastAsia="仿宋_GB2312" w:hint="eastAsia"/>
          <w:sz w:val="32"/>
        </w:rPr>
        <w:t>的评价情况</w:t>
      </w:r>
      <w:r>
        <w:rPr>
          <w:rFonts w:eastAsia="仿宋_GB2312"/>
          <w:sz w:val="32"/>
        </w:rPr>
        <w:t>进行</w:t>
      </w:r>
      <w:r>
        <w:rPr>
          <w:rFonts w:eastAsia="仿宋_GB2312" w:hint="eastAsia"/>
          <w:sz w:val="32"/>
        </w:rPr>
        <w:t>说明。（可以以表格形式，格式见附表）。</w:t>
      </w:r>
    </w:p>
    <w:p w:rsidR="00000000" w:rsidRDefault="00721107">
      <w:pPr>
        <w:pStyle w:val="5"/>
        <w:spacing w:line="360" w:lineRule="auto"/>
        <w:ind w:firstLine="640"/>
        <w:rPr>
          <w:rFonts w:eastAsia="黑体"/>
          <w:bCs/>
          <w:sz w:val="32"/>
        </w:rPr>
      </w:pPr>
      <w:r>
        <w:rPr>
          <w:rFonts w:eastAsia="黑体"/>
          <w:bCs/>
          <w:sz w:val="32"/>
        </w:rPr>
        <w:t>四、评价结论</w:t>
      </w:r>
    </w:p>
    <w:p w:rsidR="00000000" w:rsidRDefault="00721107">
      <w:pPr>
        <w:widowControl/>
        <w:spacing w:line="360" w:lineRule="auto"/>
        <w:ind w:firstLineChars="200" w:firstLine="640"/>
        <w:rPr>
          <w:rFonts w:eastAsia="仿宋_GB2312"/>
          <w:sz w:val="32"/>
        </w:rPr>
      </w:pPr>
      <w:r>
        <w:rPr>
          <w:rFonts w:eastAsia="仿宋_GB2312"/>
          <w:sz w:val="32"/>
        </w:rPr>
        <w:lastRenderedPageBreak/>
        <w:t>描述</w:t>
      </w:r>
      <w:r>
        <w:rPr>
          <w:rFonts w:eastAsia="仿宋_GB2312" w:hint="eastAsia"/>
          <w:sz w:val="32"/>
        </w:rPr>
        <w:t>受评价数据中心</w:t>
      </w:r>
      <w:r>
        <w:rPr>
          <w:rFonts w:eastAsia="仿宋_GB2312"/>
          <w:sz w:val="32"/>
        </w:rPr>
        <w:t>主要创建做法及工作亮点等，对是否</w:t>
      </w:r>
      <w:r>
        <w:rPr>
          <w:rFonts w:eastAsia="仿宋_GB2312" w:hint="eastAsia"/>
          <w:sz w:val="32"/>
        </w:rPr>
        <w:t>推荐受评价</w:t>
      </w:r>
      <w:r>
        <w:rPr>
          <w:rFonts w:eastAsia="仿宋_GB2312"/>
          <w:sz w:val="32"/>
        </w:rPr>
        <w:t>数据中心</w:t>
      </w:r>
      <w:r>
        <w:rPr>
          <w:rFonts w:eastAsia="仿宋_GB2312" w:hint="eastAsia"/>
          <w:sz w:val="32"/>
        </w:rPr>
        <w:t>参评</w:t>
      </w:r>
      <w:r>
        <w:rPr>
          <w:rFonts w:eastAsia="仿宋_GB2312"/>
          <w:sz w:val="32"/>
        </w:rPr>
        <w:t>国家绿色数据中心</w:t>
      </w:r>
      <w:r>
        <w:rPr>
          <w:rFonts w:eastAsia="仿宋_GB2312" w:hint="eastAsia"/>
          <w:sz w:val="32"/>
        </w:rPr>
        <w:t>给出结论。</w:t>
      </w:r>
    </w:p>
    <w:p w:rsidR="00000000" w:rsidRDefault="00721107">
      <w:pPr>
        <w:pStyle w:val="5"/>
        <w:spacing w:line="360" w:lineRule="auto"/>
        <w:ind w:firstLine="640"/>
        <w:rPr>
          <w:rFonts w:eastAsia="黑体"/>
          <w:bCs/>
          <w:sz w:val="32"/>
        </w:rPr>
      </w:pPr>
      <w:r>
        <w:rPr>
          <w:rFonts w:eastAsia="黑体"/>
          <w:bCs/>
          <w:sz w:val="32"/>
        </w:rPr>
        <w:t>五、建议</w:t>
      </w:r>
    </w:p>
    <w:p w:rsidR="00000000" w:rsidRDefault="00721107">
      <w:pPr>
        <w:widowControl/>
        <w:spacing w:line="360" w:lineRule="auto"/>
        <w:ind w:firstLineChars="200" w:firstLine="640"/>
        <w:rPr>
          <w:rFonts w:eastAsia="仿宋_GB2312"/>
          <w:sz w:val="32"/>
        </w:rPr>
      </w:pPr>
      <w:r>
        <w:rPr>
          <w:rFonts w:eastAsia="仿宋_GB2312"/>
          <w:sz w:val="32"/>
        </w:rPr>
        <w:t>对被</w:t>
      </w:r>
      <w:r>
        <w:rPr>
          <w:rFonts w:eastAsia="仿宋_GB2312" w:hint="eastAsia"/>
          <w:sz w:val="32"/>
        </w:rPr>
        <w:t>评价</w:t>
      </w:r>
      <w:r>
        <w:rPr>
          <w:rFonts w:eastAsia="仿宋_GB2312"/>
          <w:sz w:val="32"/>
        </w:rPr>
        <w:t>方持续开展绿色数据中心建设的下一步工作提出建议。</w:t>
      </w:r>
    </w:p>
    <w:p w:rsidR="00000000" w:rsidRDefault="00721107">
      <w:pPr>
        <w:pStyle w:val="5"/>
        <w:numPr>
          <w:ilvl w:val="0"/>
          <w:numId w:val="2"/>
        </w:numPr>
        <w:spacing w:line="360" w:lineRule="auto"/>
        <w:ind w:firstLine="640"/>
        <w:rPr>
          <w:rFonts w:eastAsia="黑体" w:hint="eastAsia"/>
          <w:bCs/>
          <w:sz w:val="32"/>
          <w:szCs w:val="22"/>
        </w:rPr>
      </w:pPr>
      <w:r>
        <w:rPr>
          <w:rFonts w:eastAsia="黑体" w:hint="eastAsia"/>
          <w:bCs/>
          <w:sz w:val="32"/>
          <w:szCs w:val="22"/>
        </w:rPr>
        <w:t>评价</w:t>
      </w:r>
      <w:r>
        <w:rPr>
          <w:rFonts w:eastAsia="黑体" w:hint="eastAsia"/>
          <w:bCs/>
          <w:sz w:val="32"/>
          <w:szCs w:val="22"/>
        </w:rPr>
        <w:t>证明材料</w:t>
      </w:r>
    </w:p>
    <w:p w:rsidR="00000000" w:rsidRDefault="00721107">
      <w:pPr>
        <w:widowControl/>
        <w:ind w:firstLineChars="200" w:firstLine="640"/>
        <w:rPr>
          <w:rFonts w:eastAsia="仿宋_GB2312"/>
          <w:sz w:val="32"/>
          <w:szCs w:val="22"/>
        </w:rPr>
      </w:pPr>
      <w:r>
        <w:rPr>
          <w:rFonts w:eastAsia="仿宋_GB2312"/>
          <w:sz w:val="32"/>
          <w:szCs w:val="22"/>
        </w:rPr>
        <w:t>在此小节</w:t>
      </w:r>
      <w:r>
        <w:rPr>
          <w:rFonts w:eastAsia="仿宋_GB2312" w:hint="eastAsia"/>
          <w:sz w:val="32"/>
          <w:szCs w:val="22"/>
        </w:rPr>
        <w:t>列明所提供的评价证明材料明细并</w:t>
      </w:r>
      <w:r>
        <w:rPr>
          <w:rFonts w:eastAsia="仿宋_GB2312"/>
          <w:sz w:val="32"/>
          <w:szCs w:val="22"/>
        </w:rPr>
        <w:t>对证明文件进行编目，相关证明文件附在正文后。</w:t>
      </w:r>
    </w:p>
    <w:p w:rsidR="00000000" w:rsidRDefault="00721107">
      <w:pPr>
        <w:pStyle w:val="5"/>
        <w:numPr>
          <w:ilvl w:val="0"/>
          <w:numId w:val="2"/>
        </w:numPr>
        <w:spacing w:line="360" w:lineRule="auto"/>
        <w:ind w:firstLine="640"/>
        <w:rPr>
          <w:rFonts w:eastAsia="黑体"/>
          <w:bCs/>
          <w:sz w:val="32"/>
          <w:szCs w:val="22"/>
        </w:rPr>
      </w:pPr>
      <w:r>
        <w:rPr>
          <w:rFonts w:eastAsia="黑体"/>
          <w:bCs/>
          <w:sz w:val="32"/>
          <w:szCs w:val="22"/>
        </w:rPr>
        <w:t>第三方机构资质符合性证明材料</w:t>
      </w:r>
    </w:p>
    <w:p w:rsidR="00000000" w:rsidRDefault="00721107">
      <w:pPr>
        <w:widowControl/>
        <w:ind w:firstLineChars="200" w:firstLine="640"/>
        <w:rPr>
          <w:rFonts w:eastAsia="仿宋_GB2312" w:hint="eastAsia"/>
          <w:sz w:val="32"/>
          <w:szCs w:val="22"/>
        </w:rPr>
      </w:pPr>
      <w:r>
        <w:rPr>
          <w:rFonts w:eastAsia="仿宋_GB2312"/>
          <w:sz w:val="32"/>
          <w:szCs w:val="22"/>
        </w:rPr>
        <w:t>在评价报告中对照评价机构基本条件逐项进行说明并提供相关证明材料</w:t>
      </w:r>
      <w:r>
        <w:rPr>
          <w:rFonts w:eastAsia="仿宋_GB2312" w:hint="eastAsia"/>
          <w:sz w:val="32"/>
          <w:szCs w:val="22"/>
        </w:rPr>
        <w:t>。</w:t>
      </w:r>
      <w:r>
        <w:rPr>
          <w:rFonts w:eastAsia="仿宋_GB2312"/>
          <w:sz w:val="32"/>
          <w:szCs w:val="22"/>
        </w:rPr>
        <w:t>在此小节</w:t>
      </w:r>
      <w:r>
        <w:rPr>
          <w:rFonts w:eastAsia="仿宋_GB2312" w:hint="eastAsia"/>
          <w:sz w:val="32"/>
          <w:szCs w:val="22"/>
        </w:rPr>
        <w:t>列明所提供的证明材料明细并</w:t>
      </w:r>
      <w:r>
        <w:rPr>
          <w:rFonts w:eastAsia="仿宋_GB2312"/>
          <w:sz w:val="32"/>
          <w:szCs w:val="22"/>
        </w:rPr>
        <w:t>对证明文件进行编目，相关证明文件附在正文后。</w:t>
      </w:r>
    </w:p>
    <w:p w:rsidR="00000000" w:rsidRDefault="00721107">
      <w:pPr>
        <w:widowControl/>
        <w:ind w:firstLineChars="200" w:firstLine="640"/>
        <w:rPr>
          <w:rFonts w:eastAsia="仿宋_GB2312" w:hint="eastAsia"/>
          <w:sz w:val="32"/>
          <w:szCs w:val="22"/>
        </w:rPr>
      </w:pPr>
      <w:r>
        <w:rPr>
          <w:rFonts w:eastAsia="仿宋_GB2312"/>
          <w:sz w:val="32"/>
          <w:szCs w:val="22"/>
        </w:rPr>
        <w:t>评价机构基本条件</w:t>
      </w:r>
      <w:r>
        <w:rPr>
          <w:rFonts w:eastAsia="仿宋_GB2312" w:hint="eastAsia"/>
          <w:sz w:val="32"/>
          <w:szCs w:val="22"/>
        </w:rPr>
        <w:t>如下：</w:t>
      </w:r>
    </w:p>
    <w:p w:rsidR="00000000" w:rsidRDefault="00721107">
      <w:pPr>
        <w:pStyle w:val="Style1"/>
        <w:spacing w:line="360" w:lineRule="auto"/>
        <w:ind w:firstLine="640"/>
        <w:rPr>
          <w:rFonts w:ascii="Times New Roman" w:eastAsia="仿宋_GB2312" w:hAnsi="Times New Roman"/>
          <w:sz w:val="32"/>
          <w:szCs w:val="22"/>
        </w:rPr>
      </w:pPr>
      <w:r>
        <w:rPr>
          <w:rFonts w:ascii="Times New Roman" w:eastAsia="仿宋_GB2312" w:hAnsi="Times New Roman"/>
          <w:sz w:val="32"/>
          <w:szCs w:val="22"/>
        </w:rPr>
        <w:t>（一）在中华人民共和国境内注册并</w:t>
      </w:r>
      <w:r>
        <w:rPr>
          <w:rFonts w:ascii="Times New Roman" w:eastAsia="仿宋_GB2312" w:hAnsi="Times New Roman"/>
          <w:sz w:val="32"/>
          <w:szCs w:val="22"/>
        </w:rPr>
        <w:t>具有独立法人资格的企事业单位、行业协会等，具有开展相关评价的经验和能力。</w:t>
      </w:r>
    </w:p>
    <w:p w:rsidR="00000000" w:rsidRDefault="00721107">
      <w:pPr>
        <w:pStyle w:val="Style1"/>
        <w:spacing w:line="360" w:lineRule="auto"/>
        <w:ind w:firstLine="640"/>
        <w:rPr>
          <w:rFonts w:ascii="Times New Roman" w:eastAsia="仿宋_GB2312" w:hAnsi="Times New Roman"/>
          <w:sz w:val="32"/>
          <w:szCs w:val="22"/>
        </w:rPr>
      </w:pPr>
      <w:r>
        <w:rPr>
          <w:rFonts w:ascii="Times New Roman" w:eastAsia="仿宋_GB2312" w:hAnsi="Times New Roman"/>
          <w:sz w:val="32"/>
          <w:szCs w:val="22"/>
        </w:rPr>
        <w:t>（二）具有固定的办公场所及开展评价工作的办公条件，具有健全的财务管理制度。</w:t>
      </w:r>
    </w:p>
    <w:p w:rsidR="00000000" w:rsidRDefault="00721107">
      <w:pPr>
        <w:pStyle w:val="Style1"/>
        <w:spacing w:line="360" w:lineRule="auto"/>
        <w:ind w:firstLine="640"/>
        <w:rPr>
          <w:rFonts w:ascii="Times New Roman" w:eastAsia="仿宋_GB2312" w:hAnsi="Times New Roman"/>
          <w:sz w:val="32"/>
          <w:szCs w:val="22"/>
        </w:rPr>
      </w:pPr>
      <w:r>
        <w:rPr>
          <w:rFonts w:ascii="Times New Roman" w:eastAsia="仿宋_GB2312" w:hAnsi="Times New Roman"/>
          <w:sz w:val="32"/>
          <w:szCs w:val="22"/>
        </w:rPr>
        <w:t>（三）从事绿色评价的中级职称以上专职人员不少于</w:t>
      </w:r>
      <w:r>
        <w:rPr>
          <w:rFonts w:ascii="Times New Roman" w:eastAsia="仿宋_GB2312" w:hAnsi="Times New Roman"/>
          <w:sz w:val="32"/>
          <w:szCs w:val="22"/>
        </w:rPr>
        <w:t>10</w:t>
      </w:r>
      <w:r>
        <w:rPr>
          <w:rFonts w:ascii="Times New Roman" w:eastAsia="仿宋_GB2312" w:hAnsi="Times New Roman"/>
          <w:sz w:val="32"/>
          <w:szCs w:val="22"/>
        </w:rPr>
        <w:t>人，其中电子信息、通信、计量、能源、机电和暖通等相关专业高级职称人员不少于</w:t>
      </w:r>
      <w:r>
        <w:rPr>
          <w:rFonts w:ascii="Times New Roman" w:eastAsia="仿宋_GB2312" w:hAnsi="Times New Roman"/>
          <w:sz w:val="32"/>
          <w:szCs w:val="22"/>
        </w:rPr>
        <w:t>50%</w:t>
      </w:r>
      <w:r>
        <w:rPr>
          <w:rFonts w:ascii="Times New Roman" w:eastAsia="仿宋_GB2312" w:hAnsi="Times New Roman"/>
          <w:sz w:val="32"/>
          <w:szCs w:val="22"/>
        </w:rPr>
        <w:t>；评价机构人员应遵守国家法律法规和评价程序，熟悉绿色数据中心相关政策和标准规</w:t>
      </w:r>
      <w:r>
        <w:rPr>
          <w:rFonts w:ascii="Times New Roman" w:eastAsia="仿宋_GB2312" w:hAnsi="Times New Roman"/>
          <w:sz w:val="32"/>
          <w:szCs w:val="22"/>
        </w:rPr>
        <w:lastRenderedPageBreak/>
        <w:t>范。</w:t>
      </w:r>
    </w:p>
    <w:p w:rsidR="00000000" w:rsidRDefault="00721107">
      <w:pPr>
        <w:pStyle w:val="Style1"/>
        <w:spacing w:line="360" w:lineRule="auto"/>
        <w:ind w:firstLine="640"/>
        <w:rPr>
          <w:rFonts w:ascii="Times New Roman" w:eastAsia="仿宋_GB2312" w:hAnsi="Times New Roman"/>
          <w:sz w:val="32"/>
          <w:szCs w:val="22"/>
        </w:rPr>
      </w:pPr>
      <w:r>
        <w:rPr>
          <w:rFonts w:ascii="Times New Roman" w:eastAsia="仿宋_GB2312" w:hAnsi="Times New Roman"/>
          <w:sz w:val="32"/>
          <w:szCs w:val="22"/>
        </w:rPr>
        <w:t>（四）具备开展绿色数据中心相关测试或评价或监察的能力，近五年主导或参与数据中心相关评审、论证、认证、评价或省级（含）以上科研项目，或国际、国家、行业、</w:t>
      </w:r>
      <w:r>
        <w:rPr>
          <w:rFonts w:ascii="Times New Roman" w:eastAsia="仿宋_GB2312" w:hAnsi="Times New Roman"/>
          <w:sz w:val="32"/>
          <w:szCs w:val="22"/>
        </w:rPr>
        <w:t>地方及团体标准、相关政策制定等，总计应不低于</w:t>
      </w:r>
      <w:r>
        <w:rPr>
          <w:rFonts w:ascii="Times New Roman" w:eastAsia="仿宋_GB2312" w:hAnsi="Times New Roman"/>
          <w:sz w:val="32"/>
          <w:szCs w:val="22"/>
        </w:rPr>
        <w:t>10</w:t>
      </w:r>
      <w:r>
        <w:rPr>
          <w:rFonts w:ascii="Times New Roman" w:eastAsia="仿宋_GB2312" w:hAnsi="Times New Roman"/>
          <w:sz w:val="32"/>
          <w:szCs w:val="22"/>
        </w:rPr>
        <w:t>项。</w:t>
      </w:r>
    </w:p>
    <w:p w:rsidR="00000000" w:rsidRDefault="00721107">
      <w:pPr>
        <w:pStyle w:val="Style1"/>
        <w:spacing w:line="360" w:lineRule="auto"/>
        <w:ind w:firstLine="640"/>
      </w:pPr>
      <w:r>
        <w:rPr>
          <w:rFonts w:ascii="Times New Roman" w:eastAsia="仿宋_GB2312" w:hAnsi="Times New Roman"/>
          <w:sz w:val="32"/>
          <w:szCs w:val="22"/>
        </w:rPr>
        <w:t>绿色数据中心相关评价工作由申报企业自主委托第三方机构开展。选择的第三方机构</w:t>
      </w:r>
      <w:r>
        <w:rPr>
          <w:rFonts w:ascii="Times New Roman" w:eastAsia="仿宋_GB2312" w:hAnsi="Times New Roman" w:hint="eastAsia"/>
          <w:sz w:val="32"/>
          <w:szCs w:val="22"/>
        </w:rPr>
        <w:t>应</w:t>
      </w:r>
      <w:r>
        <w:rPr>
          <w:rFonts w:ascii="Times New Roman" w:eastAsia="仿宋_GB2312" w:hAnsi="Times New Roman"/>
          <w:sz w:val="32"/>
          <w:szCs w:val="22"/>
        </w:rPr>
        <w:t>具有省级（含）以上计量行政主管部门颁发的有效期内的检测检验机构计量认证（</w:t>
      </w:r>
      <w:r>
        <w:rPr>
          <w:rFonts w:ascii="Times New Roman" w:eastAsia="仿宋_GB2312" w:hAnsi="Times New Roman"/>
          <w:sz w:val="32"/>
          <w:szCs w:val="22"/>
        </w:rPr>
        <w:t>CMA</w:t>
      </w:r>
      <w:r>
        <w:rPr>
          <w:rFonts w:ascii="Times New Roman" w:eastAsia="仿宋_GB2312" w:hAnsi="Times New Roman"/>
          <w:sz w:val="32"/>
          <w:szCs w:val="22"/>
        </w:rPr>
        <w:t>）证书和中国合格评定国家认可委员会（</w:t>
      </w:r>
      <w:r>
        <w:rPr>
          <w:rFonts w:ascii="Times New Roman" w:eastAsia="仿宋_GB2312" w:hAnsi="Times New Roman"/>
          <w:sz w:val="32"/>
          <w:szCs w:val="22"/>
        </w:rPr>
        <w:t>CNAS</w:t>
      </w:r>
      <w:r>
        <w:rPr>
          <w:rFonts w:ascii="Times New Roman" w:eastAsia="仿宋_GB2312" w:hAnsi="Times New Roman"/>
          <w:sz w:val="32"/>
          <w:szCs w:val="22"/>
        </w:rPr>
        <w:t>）授权的实验室认可证书，且证书获认可的能力范围原则上应包含</w:t>
      </w:r>
      <w:r>
        <w:rPr>
          <w:rFonts w:ascii="Times New Roman" w:eastAsia="仿宋_GB2312" w:hAnsi="Times New Roman"/>
          <w:sz w:val="32"/>
          <w:szCs w:val="22"/>
        </w:rPr>
        <w:t>“</w:t>
      </w:r>
      <w:r>
        <w:rPr>
          <w:rFonts w:ascii="Times New Roman" w:eastAsia="仿宋_GB2312" w:hAnsi="Times New Roman"/>
          <w:sz w:val="32"/>
          <w:szCs w:val="22"/>
        </w:rPr>
        <w:t>电源、空调、电池、机柜等产品、系统以及数据中心整体的检测能力。第三方机构可参照《绿色制造体系评价参考程序》（工信厅节函〔</w:t>
      </w:r>
      <w:r>
        <w:rPr>
          <w:rFonts w:ascii="Times New Roman" w:eastAsia="仿宋_GB2312" w:hAnsi="Times New Roman"/>
          <w:sz w:val="32"/>
          <w:szCs w:val="22"/>
        </w:rPr>
        <w:t>2017</w:t>
      </w:r>
      <w:r>
        <w:rPr>
          <w:rFonts w:ascii="Times New Roman" w:eastAsia="仿宋_GB2312" w:hAnsi="Times New Roman"/>
          <w:sz w:val="32"/>
          <w:szCs w:val="22"/>
        </w:rPr>
        <w:t>〕</w:t>
      </w:r>
      <w:r>
        <w:rPr>
          <w:rFonts w:ascii="Times New Roman" w:eastAsia="仿宋_GB2312" w:hAnsi="Times New Roman"/>
          <w:sz w:val="32"/>
          <w:szCs w:val="22"/>
        </w:rPr>
        <w:t>564</w:t>
      </w:r>
      <w:r>
        <w:rPr>
          <w:rFonts w:ascii="Times New Roman" w:eastAsia="仿宋_GB2312" w:hAnsi="Times New Roman"/>
          <w:sz w:val="32"/>
          <w:szCs w:val="22"/>
        </w:rPr>
        <w:t>号）开展评价工作。第三方机构应对评价结果的真实性负责，在评价报告</w:t>
      </w:r>
      <w:r>
        <w:rPr>
          <w:rFonts w:ascii="Times New Roman" w:eastAsia="仿宋_GB2312" w:hAnsi="Times New Roman"/>
          <w:sz w:val="32"/>
          <w:szCs w:val="22"/>
        </w:rPr>
        <w:t>中对照前述的评价机构基本条件逐项进行说明并提供相关证明材料，并与申报主体自评价活动保持独立性，不应参与自评价报告编写。请有关省级工业和信息化主管部门进行核查，加强监督。</w:t>
      </w:r>
    </w:p>
    <w:p w:rsidR="00000000" w:rsidRDefault="00721107">
      <w:pPr>
        <w:widowControl/>
        <w:jc w:val="left"/>
        <w:rPr>
          <w:rFonts w:ascii="仿宋_GB2312" w:eastAsia="仿宋_GB2312"/>
          <w:b/>
          <w:sz w:val="32"/>
        </w:rPr>
        <w:sectPr w:rsidR="00000000">
          <w:pgSz w:w="11906" w:h="16838"/>
          <w:pgMar w:top="1440" w:right="1800" w:bottom="1440" w:left="1800" w:header="851" w:footer="992" w:gutter="0"/>
          <w:cols w:space="720"/>
          <w:docGrid w:type="lines" w:linePitch="312"/>
        </w:sectPr>
      </w:pPr>
    </w:p>
    <w:p w:rsidR="00000000" w:rsidRDefault="00721107">
      <w:pPr>
        <w:tabs>
          <w:tab w:val="center" w:pos="6663"/>
        </w:tabs>
        <w:rPr>
          <w:rFonts w:ascii="仿宋_GB2312" w:eastAsia="仿宋_GB2312"/>
          <w:sz w:val="32"/>
          <w:szCs w:val="32"/>
        </w:rPr>
      </w:pPr>
      <w:r>
        <w:rPr>
          <w:rFonts w:ascii="仿宋_GB2312" w:eastAsia="仿宋_GB2312" w:hint="eastAsia"/>
          <w:sz w:val="32"/>
          <w:szCs w:val="32"/>
        </w:rPr>
        <w:lastRenderedPageBreak/>
        <w:t>附表</w:t>
      </w:r>
    </w:p>
    <w:p w:rsidR="00000000" w:rsidRDefault="00721107">
      <w:pPr>
        <w:tabs>
          <w:tab w:val="center" w:pos="6663"/>
        </w:tabs>
        <w:spacing w:afterLines="50" w:after="156"/>
        <w:jc w:val="center"/>
        <w:rPr>
          <w:rFonts w:ascii="黑体" w:eastAsia="黑体" w:hAnsi="黑体" w:cs="黑体" w:hint="eastAsia"/>
          <w:bCs/>
          <w:sz w:val="36"/>
          <w:szCs w:val="21"/>
        </w:rPr>
      </w:pPr>
      <w:r>
        <w:rPr>
          <w:rFonts w:ascii="黑体" w:eastAsia="黑体" w:hAnsi="黑体" w:cs="黑体" w:hint="eastAsia"/>
          <w:bCs/>
          <w:sz w:val="36"/>
          <w:szCs w:val="21"/>
        </w:rPr>
        <w:t>绿色数据中心指标第三方评价</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72"/>
        <w:gridCol w:w="2243"/>
        <w:gridCol w:w="1224"/>
        <w:gridCol w:w="1332"/>
        <w:gridCol w:w="2748"/>
        <w:gridCol w:w="1716"/>
      </w:tblGrid>
      <w:tr w:rsidR="00000000">
        <w:trPr>
          <w:trHeight w:val="327"/>
          <w:jc w:val="center"/>
        </w:trPr>
        <w:tc>
          <w:tcPr>
            <w:tcW w:w="972" w:type="dxa"/>
            <w:tcMar>
              <w:top w:w="12" w:type="dxa"/>
              <w:left w:w="12" w:type="dxa"/>
              <w:right w:w="12" w:type="dxa"/>
            </w:tcMar>
            <w:vAlign w:val="center"/>
          </w:tcPr>
          <w:p w:rsidR="00000000" w:rsidRDefault="00721107">
            <w:pPr>
              <w:widowControl/>
              <w:jc w:val="center"/>
              <w:rPr>
                <w:rFonts w:eastAsia="仿宋_GB2312"/>
                <w:b/>
                <w:bCs/>
                <w:color w:val="000000"/>
                <w:kern w:val="0"/>
                <w:sz w:val="24"/>
                <w:szCs w:val="24"/>
              </w:rPr>
            </w:pPr>
            <w:r>
              <w:rPr>
                <w:rFonts w:eastAsia="仿宋_GB2312"/>
                <w:b/>
                <w:bCs/>
                <w:color w:val="000000"/>
                <w:kern w:val="0"/>
                <w:sz w:val="24"/>
                <w:szCs w:val="24"/>
                <w:lang w:bidi="ar"/>
              </w:rPr>
              <w:t>序号</w:t>
            </w:r>
          </w:p>
        </w:tc>
        <w:tc>
          <w:tcPr>
            <w:tcW w:w="2243" w:type="dxa"/>
            <w:tcMar>
              <w:top w:w="12" w:type="dxa"/>
              <w:left w:w="12" w:type="dxa"/>
              <w:right w:w="12" w:type="dxa"/>
            </w:tcMar>
            <w:vAlign w:val="center"/>
          </w:tcPr>
          <w:p w:rsidR="00000000" w:rsidRDefault="00721107">
            <w:pPr>
              <w:widowControl/>
              <w:jc w:val="center"/>
              <w:rPr>
                <w:rFonts w:eastAsia="仿宋_GB2312"/>
                <w:b/>
                <w:bCs/>
                <w:color w:val="000000"/>
                <w:kern w:val="0"/>
                <w:sz w:val="24"/>
                <w:szCs w:val="24"/>
              </w:rPr>
            </w:pPr>
            <w:r>
              <w:rPr>
                <w:rFonts w:eastAsia="仿宋_GB2312"/>
                <w:b/>
                <w:bCs/>
                <w:color w:val="000000"/>
                <w:kern w:val="0"/>
                <w:sz w:val="24"/>
                <w:szCs w:val="24"/>
                <w:lang w:bidi="ar"/>
              </w:rPr>
              <w:t>指标</w:t>
            </w:r>
          </w:p>
        </w:tc>
        <w:tc>
          <w:tcPr>
            <w:tcW w:w="1224" w:type="dxa"/>
            <w:tcMar>
              <w:top w:w="12" w:type="dxa"/>
              <w:left w:w="12" w:type="dxa"/>
              <w:right w:w="12" w:type="dxa"/>
            </w:tcMar>
            <w:vAlign w:val="center"/>
          </w:tcPr>
          <w:p w:rsidR="00000000" w:rsidRDefault="00721107">
            <w:pPr>
              <w:widowControl/>
              <w:jc w:val="center"/>
              <w:rPr>
                <w:rFonts w:eastAsia="仿宋_GB2312"/>
                <w:b/>
                <w:bCs/>
                <w:color w:val="000000"/>
                <w:kern w:val="0"/>
                <w:sz w:val="24"/>
                <w:szCs w:val="24"/>
              </w:rPr>
            </w:pPr>
            <w:r>
              <w:rPr>
                <w:rFonts w:eastAsia="仿宋_GB2312"/>
                <w:b/>
                <w:bCs/>
                <w:color w:val="000000"/>
                <w:kern w:val="0"/>
                <w:sz w:val="24"/>
                <w:szCs w:val="24"/>
                <w:lang w:bidi="ar"/>
              </w:rPr>
              <w:t>权重分值</w:t>
            </w:r>
          </w:p>
        </w:tc>
        <w:tc>
          <w:tcPr>
            <w:tcW w:w="1332" w:type="dxa"/>
            <w:tcMar>
              <w:top w:w="12" w:type="dxa"/>
              <w:left w:w="12" w:type="dxa"/>
              <w:right w:w="12" w:type="dxa"/>
            </w:tcMar>
            <w:vAlign w:val="center"/>
          </w:tcPr>
          <w:p w:rsidR="00000000" w:rsidRDefault="00721107">
            <w:pPr>
              <w:widowControl/>
              <w:snapToGrid w:val="0"/>
              <w:spacing w:line="288" w:lineRule="auto"/>
              <w:jc w:val="center"/>
              <w:rPr>
                <w:rFonts w:eastAsia="仿宋_GB2312"/>
                <w:b/>
                <w:bCs/>
                <w:kern w:val="0"/>
                <w:sz w:val="24"/>
                <w:szCs w:val="24"/>
              </w:rPr>
            </w:pPr>
            <w:r>
              <w:rPr>
                <w:rFonts w:eastAsia="仿宋_GB2312" w:hint="eastAsia"/>
                <w:b/>
                <w:bCs/>
                <w:kern w:val="0"/>
                <w:sz w:val="24"/>
                <w:szCs w:val="24"/>
              </w:rPr>
              <w:t>所得分值</w:t>
            </w:r>
          </w:p>
        </w:tc>
        <w:tc>
          <w:tcPr>
            <w:tcW w:w="2748" w:type="dxa"/>
            <w:tcMar>
              <w:top w:w="12" w:type="dxa"/>
              <w:left w:w="12" w:type="dxa"/>
              <w:right w:w="12" w:type="dxa"/>
            </w:tcMar>
            <w:vAlign w:val="center"/>
          </w:tcPr>
          <w:p w:rsidR="00000000" w:rsidRDefault="00721107">
            <w:pPr>
              <w:widowControl/>
              <w:snapToGrid w:val="0"/>
              <w:spacing w:line="288" w:lineRule="auto"/>
              <w:jc w:val="center"/>
              <w:rPr>
                <w:rFonts w:eastAsia="仿宋_GB2312"/>
                <w:b/>
                <w:bCs/>
                <w:kern w:val="0"/>
                <w:sz w:val="24"/>
                <w:szCs w:val="24"/>
              </w:rPr>
            </w:pPr>
            <w:r>
              <w:rPr>
                <w:rFonts w:eastAsia="仿宋_GB2312" w:hint="eastAsia"/>
                <w:b/>
                <w:bCs/>
                <w:color w:val="000000"/>
                <w:kern w:val="0"/>
                <w:sz w:val="24"/>
                <w:szCs w:val="24"/>
              </w:rPr>
              <w:t>对所得分值的详细说明</w:t>
            </w:r>
          </w:p>
        </w:tc>
        <w:tc>
          <w:tcPr>
            <w:tcW w:w="1716" w:type="dxa"/>
            <w:tcMar>
              <w:top w:w="12" w:type="dxa"/>
              <w:left w:w="12" w:type="dxa"/>
              <w:right w:w="12" w:type="dxa"/>
            </w:tcMar>
            <w:vAlign w:val="center"/>
          </w:tcPr>
          <w:p w:rsidR="00000000" w:rsidRDefault="00721107">
            <w:pPr>
              <w:widowControl/>
              <w:snapToGrid w:val="0"/>
              <w:spacing w:line="288" w:lineRule="auto"/>
              <w:jc w:val="center"/>
              <w:rPr>
                <w:rFonts w:eastAsia="仿宋_GB2312"/>
                <w:b/>
                <w:bCs/>
                <w:color w:val="000000"/>
                <w:kern w:val="0"/>
                <w:sz w:val="24"/>
                <w:szCs w:val="24"/>
              </w:rPr>
            </w:pPr>
            <w:r>
              <w:rPr>
                <w:rFonts w:eastAsia="仿宋_GB2312"/>
                <w:b/>
                <w:bCs/>
                <w:kern w:val="0"/>
                <w:sz w:val="24"/>
                <w:szCs w:val="24"/>
              </w:rPr>
              <w:t>证明材料索引</w:t>
            </w:r>
          </w:p>
        </w:tc>
      </w:tr>
      <w:tr w:rsidR="00000000">
        <w:trPr>
          <w:trHeight w:val="327"/>
          <w:jc w:val="center"/>
        </w:trPr>
        <w:tc>
          <w:tcPr>
            <w:tcW w:w="10235" w:type="dxa"/>
            <w:gridSpan w:val="6"/>
            <w:tcMar>
              <w:top w:w="12" w:type="dxa"/>
              <w:left w:w="12" w:type="dxa"/>
              <w:right w:w="12" w:type="dxa"/>
            </w:tcMar>
            <w:vAlign w:val="center"/>
          </w:tcPr>
          <w:p w:rsidR="00000000" w:rsidRDefault="00721107">
            <w:pPr>
              <w:widowControl/>
              <w:textAlignment w:val="center"/>
              <w:rPr>
                <w:rFonts w:eastAsia="黑体"/>
                <w:color w:val="000000"/>
                <w:kern w:val="0"/>
                <w:sz w:val="24"/>
                <w:szCs w:val="24"/>
                <w:lang w:bidi="ar"/>
              </w:rPr>
            </w:pPr>
            <w:r>
              <w:rPr>
                <w:rFonts w:eastAsia="黑体"/>
                <w:color w:val="000000"/>
                <w:kern w:val="0"/>
                <w:sz w:val="24"/>
                <w:szCs w:val="24"/>
                <w:lang w:bidi="ar"/>
              </w:rPr>
              <w:t>一、能源资源</w:t>
            </w:r>
            <w:r>
              <w:rPr>
                <w:rFonts w:eastAsia="黑体" w:hint="eastAsia"/>
                <w:color w:val="000000"/>
                <w:kern w:val="0"/>
                <w:sz w:val="24"/>
                <w:szCs w:val="24"/>
                <w:lang w:bidi="ar"/>
              </w:rPr>
              <w:t>高效利用</w:t>
            </w: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kern w:val="0"/>
                <w:sz w:val="24"/>
                <w:szCs w:val="24"/>
                <w:lang w:bidi="ar"/>
              </w:rPr>
              <w:t>1</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rPr>
            </w:pPr>
            <w:r>
              <w:rPr>
                <w:rStyle w:val="font31"/>
                <w:rFonts w:ascii="Times New Roman" w:cs="Times New Roman"/>
                <w:kern w:val="0"/>
                <w:lang w:bidi="ar"/>
              </w:rPr>
              <w:t>电能利用效率（</w:t>
            </w:r>
            <w:r>
              <w:rPr>
                <w:rStyle w:val="font21"/>
                <w:rFonts w:eastAsia="仿宋_GB2312"/>
                <w:kern w:val="0"/>
                <w:lang w:bidi="ar"/>
              </w:rPr>
              <w:t>PUE)</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rPr>
            </w:pPr>
            <w:r>
              <w:rPr>
                <w:color w:val="000000"/>
                <w:kern w:val="0"/>
                <w:sz w:val="24"/>
                <w:szCs w:val="24"/>
                <w:lang w:bidi="ar"/>
              </w:rPr>
              <w:t>60</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kern w:val="0"/>
                <w:sz w:val="24"/>
                <w:szCs w:val="24"/>
                <w:lang w:bidi="ar"/>
              </w:rPr>
              <w:t>2</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rPr>
            </w:pPr>
            <w:r>
              <w:rPr>
                <w:rFonts w:eastAsia="仿宋_GB2312"/>
                <w:color w:val="000000"/>
                <w:kern w:val="0"/>
                <w:sz w:val="24"/>
                <w:szCs w:val="24"/>
                <w:lang w:bidi="ar"/>
              </w:rPr>
              <w:t>设计指标达标情况</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rPr>
            </w:pPr>
            <w:r>
              <w:rPr>
                <w:color w:val="000000"/>
                <w:kern w:val="0"/>
                <w:sz w:val="24"/>
                <w:szCs w:val="24"/>
                <w:lang w:bidi="ar"/>
              </w:rPr>
              <w:t>3</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kern w:val="0"/>
                <w:sz w:val="24"/>
                <w:szCs w:val="24"/>
                <w:lang w:bidi="ar"/>
              </w:rPr>
              <w:t>3</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rPr>
            </w:pPr>
            <w:r>
              <w:rPr>
                <w:rFonts w:eastAsia="仿宋_GB2312"/>
                <w:color w:val="000000"/>
                <w:kern w:val="0"/>
                <w:sz w:val="24"/>
                <w:szCs w:val="24"/>
                <w:lang w:bidi="ar"/>
              </w:rPr>
              <w:t>IT</w:t>
            </w:r>
            <w:r>
              <w:rPr>
                <w:rFonts w:eastAsia="仿宋_GB2312"/>
                <w:color w:val="000000"/>
                <w:kern w:val="0"/>
                <w:sz w:val="24"/>
                <w:szCs w:val="24"/>
                <w:lang w:bidi="ar"/>
              </w:rPr>
              <w:t>设备负荷使用</w:t>
            </w:r>
            <w:r>
              <w:rPr>
                <w:rFonts w:eastAsia="仿宋_GB2312" w:hint="eastAsia"/>
                <w:color w:val="000000"/>
                <w:kern w:val="0"/>
                <w:sz w:val="24"/>
                <w:szCs w:val="24"/>
                <w:lang w:bidi="ar"/>
              </w:rPr>
              <w:t>率</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rPr>
            </w:pPr>
            <w:r>
              <w:rPr>
                <w:color w:val="000000"/>
                <w:kern w:val="0"/>
                <w:sz w:val="24"/>
                <w:szCs w:val="24"/>
                <w:lang w:bidi="ar"/>
              </w:rPr>
              <w:t>3</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kern w:val="0"/>
                <w:sz w:val="24"/>
                <w:szCs w:val="24"/>
                <w:lang w:bidi="ar"/>
              </w:rPr>
              <w:t>4</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rPr>
            </w:pPr>
            <w:r>
              <w:rPr>
                <w:rFonts w:eastAsia="仿宋_GB2312"/>
                <w:color w:val="000000"/>
                <w:kern w:val="0"/>
                <w:sz w:val="24"/>
                <w:szCs w:val="24"/>
                <w:lang w:bidi="ar"/>
              </w:rPr>
              <w:t>可再生能源使用比率</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rPr>
            </w:pPr>
            <w:r>
              <w:rPr>
                <w:color w:val="000000"/>
                <w:kern w:val="0"/>
                <w:sz w:val="24"/>
                <w:szCs w:val="24"/>
                <w:lang w:bidi="ar"/>
              </w:rPr>
              <w:t>2</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ascii="仿宋_GB2312" w:eastAsia="仿宋_GB2312" w:hAnsi="等线" w:cs="仿宋_GB2312"/>
                <w:color w:val="000000"/>
                <w:sz w:val="24"/>
                <w:szCs w:val="24"/>
              </w:rPr>
            </w:pPr>
            <w:r>
              <w:rPr>
                <w:rFonts w:ascii="仿宋_GB2312" w:eastAsia="仿宋_GB2312" w:hAnsi="等线" w:cs="仿宋_GB2312"/>
                <w:color w:val="000000"/>
                <w:kern w:val="0"/>
                <w:sz w:val="24"/>
                <w:szCs w:val="24"/>
                <w:lang w:bidi="ar"/>
              </w:rPr>
              <w:t>5</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rPr>
            </w:pPr>
            <w:r>
              <w:rPr>
                <w:rFonts w:eastAsia="仿宋_GB2312"/>
                <w:color w:val="000000"/>
                <w:kern w:val="0"/>
                <w:sz w:val="24"/>
                <w:szCs w:val="24"/>
                <w:lang w:bidi="ar"/>
              </w:rPr>
              <w:t>水资源使用率</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rPr>
            </w:pPr>
            <w:r>
              <w:rPr>
                <w:color w:val="000000"/>
                <w:kern w:val="0"/>
                <w:sz w:val="24"/>
                <w:szCs w:val="24"/>
                <w:lang w:bidi="ar"/>
              </w:rPr>
              <w:t>2</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10235" w:type="dxa"/>
            <w:gridSpan w:val="6"/>
            <w:tcMar>
              <w:top w:w="12" w:type="dxa"/>
              <w:left w:w="12" w:type="dxa"/>
              <w:right w:w="12" w:type="dxa"/>
            </w:tcMar>
            <w:vAlign w:val="center"/>
          </w:tcPr>
          <w:p w:rsidR="00000000" w:rsidRDefault="00721107">
            <w:pPr>
              <w:widowControl/>
              <w:textAlignment w:val="center"/>
              <w:rPr>
                <w:rFonts w:eastAsia="黑体"/>
                <w:color w:val="000000"/>
                <w:kern w:val="0"/>
                <w:sz w:val="24"/>
                <w:szCs w:val="24"/>
                <w:lang w:bidi="ar"/>
              </w:rPr>
            </w:pPr>
            <w:r>
              <w:rPr>
                <w:rFonts w:eastAsia="黑体"/>
                <w:color w:val="000000"/>
                <w:kern w:val="0"/>
                <w:sz w:val="24"/>
                <w:szCs w:val="24"/>
                <w:lang w:bidi="ar"/>
              </w:rPr>
              <w:t>二、绿色设计及绿色采购</w:t>
            </w: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sz w:val="24"/>
                <w:szCs w:val="24"/>
              </w:rPr>
            </w:pPr>
            <w:r>
              <w:rPr>
                <w:rFonts w:eastAsia="等线"/>
                <w:color w:val="000000"/>
                <w:kern w:val="0"/>
                <w:sz w:val="24"/>
                <w:szCs w:val="24"/>
                <w:lang w:bidi="ar"/>
              </w:rPr>
              <w:t>6</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color w:val="000000"/>
                <w:kern w:val="0"/>
                <w:sz w:val="24"/>
                <w:szCs w:val="24"/>
                <w:lang w:bidi="ar"/>
              </w:rPr>
              <w:t>绿色</w:t>
            </w:r>
            <w:r>
              <w:rPr>
                <w:rFonts w:eastAsia="仿宋_GB2312"/>
                <w:color w:val="000000"/>
                <w:kern w:val="0"/>
                <w:sz w:val="24"/>
                <w:szCs w:val="24"/>
                <w:lang w:bidi="ar"/>
              </w:rPr>
              <w:t>先进适用技术产品应用</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10</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sz w:val="24"/>
                <w:szCs w:val="24"/>
              </w:rPr>
            </w:pPr>
            <w:r>
              <w:rPr>
                <w:rFonts w:eastAsia="等线"/>
                <w:color w:val="000000"/>
                <w:kern w:val="0"/>
                <w:sz w:val="24"/>
                <w:szCs w:val="24"/>
                <w:lang w:bidi="ar"/>
              </w:rPr>
              <w:t>7</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color w:val="000000"/>
                <w:kern w:val="0"/>
                <w:sz w:val="24"/>
                <w:szCs w:val="24"/>
                <w:lang w:bidi="ar"/>
              </w:rPr>
              <w:t>清洁能源利用系统</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sz w:val="24"/>
                <w:szCs w:val="24"/>
              </w:rPr>
            </w:pPr>
            <w:r>
              <w:rPr>
                <w:rFonts w:eastAsia="等线"/>
                <w:color w:val="000000"/>
                <w:kern w:val="0"/>
                <w:sz w:val="24"/>
                <w:szCs w:val="24"/>
                <w:lang w:bidi="ar"/>
              </w:rPr>
              <w:t>8</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color w:val="000000"/>
                <w:kern w:val="0"/>
                <w:sz w:val="24"/>
                <w:szCs w:val="24"/>
                <w:lang w:bidi="ar"/>
              </w:rPr>
              <w:t>绿色采购</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10235" w:type="dxa"/>
            <w:gridSpan w:val="6"/>
            <w:tcMar>
              <w:top w:w="12" w:type="dxa"/>
              <w:left w:w="12" w:type="dxa"/>
              <w:right w:w="12" w:type="dxa"/>
            </w:tcMar>
            <w:vAlign w:val="center"/>
          </w:tcPr>
          <w:p w:rsidR="00000000" w:rsidRDefault="00721107">
            <w:pPr>
              <w:widowControl/>
              <w:textAlignment w:val="center"/>
              <w:rPr>
                <w:rFonts w:eastAsia="黑体"/>
                <w:color w:val="000000"/>
                <w:kern w:val="0"/>
                <w:sz w:val="24"/>
                <w:szCs w:val="24"/>
                <w:lang w:bidi="ar"/>
              </w:rPr>
            </w:pPr>
            <w:r>
              <w:rPr>
                <w:rFonts w:eastAsia="黑体"/>
                <w:color w:val="000000"/>
                <w:kern w:val="0"/>
                <w:sz w:val="24"/>
                <w:szCs w:val="24"/>
                <w:lang w:bidi="ar"/>
              </w:rPr>
              <w:t>三、能源资源</w:t>
            </w:r>
            <w:r>
              <w:rPr>
                <w:rFonts w:eastAsia="黑体" w:hint="eastAsia"/>
                <w:color w:val="000000"/>
                <w:kern w:val="0"/>
                <w:sz w:val="24"/>
                <w:szCs w:val="24"/>
                <w:lang w:bidi="ar"/>
              </w:rPr>
              <w:t>绿色</w:t>
            </w:r>
            <w:r>
              <w:rPr>
                <w:rFonts w:eastAsia="黑体"/>
                <w:color w:val="000000"/>
                <w:kern w:val="0"/>
                <w:sz w:val="24"/>
                <w:szCs w:val="24"/>
                <w:lang w:bidi="ar"/>
              </w:rPr>
              <w:t>管理</w:t>
            </w: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sz w:val="24"/>
                <w:szCs w:val="24"/>
              </w:rPr>
            </w:pPr>
            <w:r>
              <w:rPr>
                <w:rFonts w:eastAsia="等线"/>
                <w:color w:val="000000"/>
                <w:kern w:val="0"/>
                <w:sz w:val="24"/>
                <w:szCs w:val="24"/>
                <w:lang w:bidi="ar"/>
              </w:rPr>
              <w:t>9</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color w:val="000000"/>
                <w:kern w:val="0"/>
                <w:sz w:val="24"/>
                <w:szCs w:val="24"/>
                <w:lang w:bidi="ar"/>
              </w:rPr>
              <w:t>能源使用管控</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4</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sz w:val="24"/>
                <w:szCs w:val="24"/>
              </w:rPr>
            </w:pPr>
            <w:r>
              <w:rPr>
                <w:rFonts w:eastAsia="等线"/>
                <w:color w:val="000000"/>
                <w:kern w:val="0"/>
                <w:sz w:val="24"/>
                <w:szCs w:val="24"/>
                <w:lang w:bidi="ar"/>
              </w:rPr>
              <w:t>10</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color w:val="000000"/>
                <w:kern w:val="0"/>
                <w:sz w:val="24"/>
                <w:szCs w:val="24"/>
                <w:lang w:bidi="ar"/>
              </w:rPr>
              <w:t>水资源使用管控</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sz w:val="24"/>
                <w:szCs w:val="24"/>
              </w:rPr>
            </w:pPr>
            <w:r>
              <w:rPr>
                <w:rFonts w:eastAsia="等线"/>
                <w:color w:val="000000"/>
                <w:kern w:val="0"/>
                <w:sz w:val="24"/>
                <w:szCs w:val="24"/>
                <w:lang w:bidi="ar"/>
              </w:rPr>
              <w:t>11</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color w:val="000000"/>
                <w:kern w:val="0"/>
                <w:sz w:val="24"/>
                <w:szCs w:val="24"/>
                <w:lang w:bidi="ar"/>
              </w:rPr>
              <w:t>节能诊断服务</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sz w:val="24"/>
                <w:szCs w:val="24"/>
              </w:rPr>
            </w:pPr>
            <w:r>
              <w:rPr>
                <w:rFonts w:eastAsia="等线"/>
                <w:color w:val="000000"/>
                <w:kern w:val="0"/>
                <w:sz w:val="24"/>
                <w:szCs w:val="24"/>
                <w:lang w:bidi="ar"/>
              </w:rPr>
              <w:t>12</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color w:val="000000"/>
                <w:kern w:val="0"/>
                <w:sz w:val="24"/>
                <w:szCs w:val="24"/>
                <w:lang w:bidi="ar"/>
              </w:rPr>
              <w:t>第三方评测</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10235" w:type="dxa"/>
            <w:gridSpan w:val="6"/>
            <w:tcMar>
              <w:top w:w="12" w:type="dxa"/>
              <w:left w:w="12" w:type="dxa"/>
              <w:right w:w="12" w:type="dxa"/>
            </w:tcMar>
            <w:vAlign w:val="center"/>
          </w:tcPr>
          <w:p w:rsidR="00000000" w:rsidRDefault="00721107">
            <w:pPr>
              <w:widowControl/>
              <w:textAlignment w:val="center"/>
              <w:rPr>
                <w:rFonts w:eastAsia="黑体"/>
                <w:color w:val="000000"/>
                <w:kern w:val="0"/>
                <w:sz w:val="24"/>
                <w:szCs w:val="24"/>
                <w:lang w:bidi="ar"/>
              </w:rPr>
            </w:pPr>
            <w:r>
              <w:rPr>
                <w:rFonts w:eastAsia="黑体"/>
                <w:color w:val="000000"/>
                <w:kern w:val="0"/>
                <w:sz w:val="24"/>
                <w:szCs w:val="24"/>
                <w:lang w:bidi="ar"/>
              </w:rPr>
              <w:t>四、设备绿色管理</w:t>
            </w: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sz w:val="24"/>
                <w:szCs w:val="24"/>
              </w:rPr>
            </w:pPr>
            <w:r>
              <w:rPr>
                <w:rFonts w:eastAsia="等线"/>
                <w:color w:val="000000"/>
                <w:kern w:val="0"/>
                <w:sz w:val="24"/>
                <w:szCs w:val="24"/>
                <w:lang w:bidi="ar"/>
              </w:rPr>
              <w:t>13</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color w:val="000000"/>
                <w:kern w:val="0"/>
                <w:sz w:val="24"/>
                <w:szCs w:val="24"/>
                <w:lang w:bidi="ar"/>
              </w:rPr>
              <w:t>电器电子产品有害物质限制使用管理</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sz w:val="24"/>
                <w:szCs w:val="24"/>
              </w:rPr>
            </w:pPr>
            <w:r>
              <w:rPr>
                <w:rFonts w:eastAsia="等线"/>
                <w:color w:val="000000"/>
                <w:kern w:val="0"/>
                <w:sz w:val="24"/>
                <w:szCs w:val="24"/>
                <w:lang w:bidi="ar"/>
              </w:rPr>
              <w:t>14</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color w:val="000000"/>
                <w:kern w:val="0"/>
                <w:sz w:val="24"/>
                <w:szCs w:val="24"/>
                <w:lang w:bidi="ar"/>
              </w:rPr>
              <w:t>废旧电器电子产品处理</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sz w:val="24"/>
                <w:szCs w:val="24"/>
              </w:rPr>
            </w:pPr>
            <w:r>
              <w:rPr>
                <w:rFonts w:eastAsia="等线"/>
                <w:color w:val="000000"/>
                <w:kern w:val="0"/>
                <w:sz w:val="24"/>
                <w:szCs w:val="24"/>
                <w:lang w:bidi="ar"/>
              </w:rPr>
              <w:t>15</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color w:val="000000"/>
                <w:kern w:val="0"/>
                <w:sz w:val="24"/>
                <w:szCs w:val="24"/>
                <w:lang w:bidi="ar"/>
              </w:rPr>
              <w:t>废弃物处理</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10235" w:type="dxa"/>
            <w:gridSpan w:val="6"/>
            <w:tcMar>
              <w:top w:w="12" w:type="dxa"/>
              <w:left w:w="12" w:type="dxa"/>
              <w:right w:w="12" w:type="dxa"/>
            </w:tcMar>
            <w:vAlign w:val="center"/>
          </w:tcPr>
          <w:p w:rsidR="00000000" w:rsidRDefault="00721107">
            <w:pPr>
              <w:widowControl/>
              <w:textAlignment w:val="center"/>
              <w:rPr>
                <w:rFonts w:eastAsia="黑体"/>
                <w:color w:val="000000"/>
                <w:kern w:val="0"/>
                <w:sz w:val="24"/>
                <w:szCs w:val="24"/>
                <w:lang w:bidi="ar"/>
              </w:rPr>
            </w:pPr>
            <w:r>
              <w:rPr>
                <w:rFonts w:eastAsia="黑体"/>
                <w:color w:val="000000"/>
                <w:kern w:val="0"/>
                <w:sz w:val="24"/>
                <w:szCs w:val="24"/>
                <w:lang w:bidi="ar"/>
              </w:rPr>
              <w:t>五、加分项</w:t>
            </w: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kern w:val="0"/>
                <w:sz w:val="24"/>
                <w:szCs w:val="24"/>
                <w:lang w:bidi="ar"/>
              </w:rPr>
            </w:pPr>
            <w:r>
              <w:rPr>
                <w:rFonts w:eastAsia="等线"/>
                <w:color w:val="000000"/>
                <w:kern w:val="0"/>
                <w:sz w:val="24"/>
                <w:szCs w:val="24"/>
                <w:lang w:bidi="ar"/>
              </w:rPr>
              <w:t>16</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color w:val="000000"/>
                <w:kern w:val="0"/>
                <w:sz w:val="24"/>
                <w:szCs w:val="24"/>
                <w:lang w:bidi="ar"/>
              </w:rPr>
              <w:t>可再生能源电力消纳及绿色电力证书消费</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3</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r w:rsidR="00000000">
        <w:trPr>
          <w:trHeight w:val="327"/>
          <w:jc w:val="center"/>
        </w:trPr>
        <w:tc>
          <w:tcPr>
            <w:tcW w:w="972" w:type="dxa"/>
            <w:tcMar>
              <w:top w:w="12" w:type="dxa"/>
              <w:left w:w="12" w:type="dxa"/>
              <w:right w:w="12" w:type="dxa"/>
            </w:tcMar>
            <w:vAlign w:val="center"/>
          </w:tcPr>
          <w:p w:rsidR="00000000" w:rsidRDefault="00721107">
            <w:pPr>
              <w:widowControl/>
              <w:jc w:val="center"/>
              <w:textAlignment w:val="center"/>
              <w:rPr>
                <w:rFonts w:eastAsia="等线"/>
                <w:color w:val="000000"/>
                <w:kern w:val="0"/>
                <w:sz w:val="24"/>
                <w:szCs w:val="24"/>
                <w:lang w:bidi="ar"/>
              </w:rPr>
            </w:pPr>
            <w:r>
              <w:rPr>
                <w:rFonts w:eastAsia="等线"/>
                <w:color w:val="000000"/>
                <w:kern w:val="0"/>
                <w:sz w:val="24"/>
                <w:szCs w:val="24"/>
                <w:lang w:bidi="ar"/>
              </w:rPr>
              <w:t>17</w:t>
            </w:r>
          </w:p>
        </w:tc>
        <w:tc>
          <w:tcPr>
            <w:tcW w:w="2243" w:type="dxa"/>
            <w:tcMar>
              <w:top w:w="12" w:type="dxa"/>
              <w:left w:w="12" w:type="dxa"/>
              <w:right w:w="12" w:type="dxa"/>
            </w:tcMar>
            <w:vAlign w:val="center"/>
          </w:tcPr>
          <w:p w:rsidR="00000000" w:rsidRDefault="00721107">
            <w:pPr>
              <w:widowControl/>
              <w:rPr>
                <w:rFonts w:eastAsia="仿宋_GB2312"/>
                <w:color w:val="000000"/>
                <w:kern w:val="0"/>
                <w:sz w:val="24"/>
                <w:szCs w:val="24"/>
                <w:lang w:bidi="ar"/>
              </w:rPr>
            </w:pPr>
            <w:r>
              <w:rPr>
                <w:rFonts w:eastAsia="仿宋_GB2312" w:hint="eastAsia"/>
                <w:color w:val="000000"/>
                <w:kern w:val="0"/>
                <w:sz w:val="24"/>
                <w:szCs w:val="24"/>
                <w:lang w:bidi="ar"/>
              </w:rPr>
              <w:t>标准等绿色公共服务</w:t>
            </w:r>
          </w:p>
        </w:tc>
        <w:tc>
          <w:tcPr>
            <w:tcW w:w="1224"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2748"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c>
          <w:tcPr>
            <w:tcW w:w="1716" w:type="dxa"/>
            <w:tcMar>
              <w:top w:w="12" w:type="dxa"/>
              <w:left w:w="12" w:type="dxa"/>
              <w:right w:w="12" w:type="dxa"/>
            </w:tcMar>
            <w:vAlign w:val="center"/>
          </w:tcPr>
          <w:p w:rsidR="00000000" w:rsidRDefault="00721107">
            <w:pPr>
              <w:widowControl/>
              <w:tabs>
                <w:tab w:val="center" w:pos="1222"/>
                <w:tab w:val="right" w:pos="2324"/>
              </w:tabs>
              <w:snapToGrid w:val="0"/>
              <w:spacing w:line="288" w:lineRule="auto"/>
              <w:jc w:val="center"/>
              <w:rPr>
                <w:color w:val="000000"/>
                <w:kern w:val="0"/>
                <w:sz w:val="24"/>
                <w:szCs w:val="24"/>
                <w:lang w:bidi="ar"/>
              </w:rPr>
            </w:pPr>
          </w:p>
        </w:tc>
      </w:tr>
    </w:tbl>
    <w:p w:rsidR="00000000" w:rsidRDefault="00721107">
      <w:pPr>
        <w:tabs>
          <w:tab w:val="center" w:pos="6663"/>
        </w:tabs>
        <w:spacing w:afterLines="50" w:after="156"/>
        <w:jc w:val="center"/>
        <w:rPr>
          <w:rFonts w:ascii="黑体" w:eastAsia="黑体" w:hAnsi="黑体" w:cs="黑体" w:hint="eastAsia"/>
          <w:bCs/>
          <w:sz w:val="36"/>
          <w:szCs w:val="21"/>
        </w:rPr>
      </w:pPr>
    </w:p>
    <w:p w:rsidR="00721107" w:rsidRDefault="00721107">
      <w:pPr>
        <w:tabs>
          <w:tab w:val="center" w:pos="6663"/>
        </w:tabs>
        <w:spacing w:afterLines="50" w:after="156"/>
        <w:rPr>
          <w:rFonts w:ascii="黑体" w:eastAsia="黑体" w:hAnsi="黑体" w:cs="黑体"/>
          <w:bCs/>
          <w:sz w:val="36"/>
          <w:szCs w:val="21"/>
        </w:rPr>
      </w:pPr>
    </w:p>
    <w:sectPr w:rsidR="00721107">
      <w:endnotePr>
        <w:numFmt w:val="decimal"/>
      </w:endnotePr>
      <w:pgSz w:w="11906" w:h="16838"/>
      <w:pgMar w:top="2098" w:right="1588" w:bottom="209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107" w:rsidRDefault="00721107">
      <w:r>
        <w:separator/>
      </w:r>
    </w:p>
  </w:endnote>
  <w:endnote w:type="continuationSeparator" w:id="0">
    <w:p w:rsidR="00721107" w:rsidRDefault="0072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Noto Sans Mono CJK JP Regular">
    <w:altName w:val="宋体"/>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1107">
    <w:pPr>
      <w:pStyle w:val="a6"/>
      <w:ind w:right="360" w:firstLine="360"/>
    </w:pPr>
    <w:r>
      <w:rPr>
        <w:sz w:val="28"/>
      </w:rPr>
      <w:pict>
        <v:rect id="文本框 12" o:spid="_x0000_s3073" style="position:absolute;left:0;text-align:left;margin-left:0;margin-top:0;width:2in;height:2in;z-index:1;mso-wrap-style:none;mso-position-horizontal:center;mso-position-horizontal-relative:margin" filled="f" stroked="f">
          <v:fill o:detectmouseclick="t"/>
          <v:textbox style="mso-fit-shape-to-text:t" inset="0,0,0,0">
            <w:txbxContent>
              <w:p w:rsidR="00000000" w:rsidRDefault="00721107">
                <w:pPr>
                  <w:pStyle w:val="a6"/>
                  <w:ind w:leftChars="100" w:left="210"/>
                </w:pPr>
              </w:p>
            </w:txbxContent>
          </v:textbox>
          <w10:wrap anchorx="margin"/>
        </v:rect>
      </w:pict>
    </w:r>
    <w:r>
      <w:rPr>
        <w:sz w:val="28"/>
      </w:rPr>
      <w:pict>
        <v:rect id="文本框 6" o:spid="_x0000_s3074" style="position:absolute;left:0;text-align:left;margin-left:0;margin-top:0;width:2in;height:2in;z-index:2;mso-wrap-style:none;mso-position-horizontal:left;mso-position-horizontal-relative:margin" filled="f" stroked="f">
          <v:fill o:detectmouseclick="t"/>
          <v:textbox style="mso-fit-shape-to-text:t" inset="0,0,0,0">
            <w:txbxContent>
              <w:p w:rsidR="00000000" w:rsidRDefault="00721107">
                <w:pPr>
                  <w:pStyle w:val="a6"/>
                  <w:ind w:leftChars="100" w:left="210"/>
                </w:pPr>
              </w:p>
            </w:txbxContent>
          </v:textbox>
          <w10:wrap anchorx="margin"/>
        </v:rect>
      </w:pict>
    </w:r>
    <w:r>
      <w:rPr>
        <w:sz w:val="28"/>
      </w:rPr>
      <w:pict>
        <v:rect id="文本框 4" o:spid="_x0000_s3075" style="position:absolute;left:0;text-align:left;margin-left:0;margin-top:0;width:2in;height:2in;z-index:3;mso-wrap-style:none;mso-position-horizontal:left;mso-position-horizontal-relative:margin" filled="f" stroked="f">
          <v:fill o:detectmouseclick="t"/>
          <v:textbox style="mso-fit-shape-to-text:t" inset="0,0,0,0">
            <w:txbxContent>
              <w:p w:rsidR="00000000" w:rsidRDefault="00721107">
                <w:pPr>
                  <w:pStyle w:val="a6"/>
                  <w:ind w:leftChars="100" w:left="210"/>
                </w:pPr>
              </w:p>
            </w:txbxContent>
          </v:textbox>
          <w10:wrap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1107">
    <w:pPr>
      <w:ind w:rightChars="100" w:right="210"/>
    </w:pPr>
    <w:r>
      <w:rPr>
        <w:sz w:val="28"/>
      </w:rPr>
      <w:pict>
        <v:rect id="文本框 11" o:spid="_x0000_s3072" style="position:absolute;left:0;text-align:left;margin-left:0;margin-top:0;width:2in;height:2in;z-index:4;mso-wrap-style:none;mso-position-horizontal:center;mso-position-horizontal-relative:margin" filled="f" stroked="f">
          <v:fill o:detectmouseclick="t"/>
          <v:textbox style="mso-fit-shape-to-text:t" inset="0,0,0,0">
            <w:txbxContent>
              <w:p w:rsidR="00000000" w:rsidRDefault="00721107">
                <w:pPr>
                  <w:ind w:rightChars="100" w:right="210"/>
                </w:pPr>
              </w:p>
            </w:txbxContent>
          </v:textbox>
          <w10:wrap anchorx="margin"/>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1107">
    <w:pPr>
      <w:pStyle w:val="a6"/>
      <w:ind w:right="360" w:firstLine="360"/>
    </w:pPr>
    <w:r>
      <w:rPr>
        <w:sz w:val="28"/>
      </w:rPr>
      <w:pict>
        <v:rect id="文本框 14" o:spid="_x0000_s3079" style="position:absolute;left:0;text-align:left;margin-left:0;margin-top:0;width:2in;height:2in;z-index:5;mso-wrap-style:none;mso-position-horizontal:center;mso-position-horizontal-relative:margin" filled="f" stroked="f">
          <v:fill o:detectmouseclick="t"/>
          <v:textbox style="mso-fit-shape-to-text:t" inset="0,0,0,0">
            <w:txbxContent>
              <w:p w:rsidR="00000000" w:rsidRDefault="0072110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D7D32" w:rsidRPr="00DD7D32">
                  <w:rPr>
                    <w:noProof/>
                    <w:lang w:val="en-US" w:eastAsia="zh-CN"/>
                  </w:rPr>
                  <w:t>4</w:t>
                </w:r>
                <w:r>
                  <w:rPr>
                    <w:rFonts w:hint="eastAsia"/>
                    <w:sz w:val="18"/>
                  </w:rPr>
                  <w:fldChar w:fldCharType="end"/>
                </w:r>
              </w:p>
            </w:txbxContent>
          </v:textbox>
          <w10:wrap anchorx="margin"/>
        </v:rect>
      </w:pict>
    </w:r>
    <w:r>
      <w:rPr>
        <w:sz w:val="28"/>
      </w:rPr>
      <w:pict>
        <v:rect id="矩形 1033" o:spid="_x0000_s3080" style="position:absolute;left:0;text-align:left;margin-left:0;margin-top:0;width:2in;height:2in;z-index:6;mso-wrap-style:none;mso-position-horizontal:left;mso-position-horizontal-relative:margin" filled="f" stroked="f">
          <v:fill o:detectmouseclick="t"/>
          <v:textbox style="mso-fit-shape-to-text:t" inset="0,0,0,0">
            <w:txbxContent>
              <w:p w:rsidR="00000000" w:rsidRDefault="00721107">
                <w:pPr>
                  <w:pStyle w:val="a6"/>
                  <w:ind w:leftChars="100" w:left="210"/>
                </w:pPr>
              </w:p>
            </w:txbxContent>
          </v:textbox>
          <w10:wrap anchorx="margin"/>
        </v:rect>
      </w:pict>
    </w:r>
    <w:r>
      <w:rPr>
        <w:sz w:val="28"/>
      </w:rPr>
      <w:pict>
        <v:rect id="矩形 1034" o:spid="_x0000_s3081" style="position:absolute;left:0;text-align:left;margin-left:0;margin-top:0;width:2in;height:2in;z-index:7;mso-wrap-style:none;mso-position-horizontal:left;mso-position-horizontal-relative:margin" filled="f" stroked="f">
          <v:fill o:detectmouseclick="t"/>
          <v:textbox style="mso-fit-shape-to-text:t" inset="0,0,0,0">
            <w:txbxContent>
              <w:p w:rsidR="00000000" w:rsidRDefault="00721107">
                <w:pPr>
                  <w:pStyle w:val="a6"/>
                  <w:ind w:leftChars="100" w:left="210"/>
                </w:pPr>
              </w:p>
            </w:txbxContent>
          </v:textbox>
          <w10:wrap anchorx="margin"/>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1107">
    <w:pPr>
      <w:ind w:right="360"/>
    </w:pPr>
    <w:r>
      <w:rPr>
        <w:sz w:val="28"/>
      </w:rPr>
      <w:pict>
        <v:rect id="文本框 13" o:spid="_x0000_s3076" style="position:absolute;left:0;text-align:left;margin-left:0;margin-top:0;width:2in;height:2in;z-index:8;mso-wrap-style:none;mso-position-horizontal:center;mso-position-horizontal-relative:margin" filled="f" stroked="f">
          <v:fill o:detectmouseclick="t"/>
          <v:textbox style="mso-fit-shape-to-text:t" inset="0,0,0,0">
            <w:txbxContent>
              <w:p w:rsidR="00000000" w:rsidRDefault="00721107">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sidR="00DD7D32" w:rsidRPr="00DD7D32">
                  <w:rPr>
                    <w:noProof/>
                    <w:lang w:val="en-US" w:eastAsia="zh-CN"/>
                  </w:rPr>
                  <w:t>5</w:t>
                </w:r>
                <w:r>
                  <w:rPr>
                    <w:rFonts w:hint="eastAsia"/>
                    <w:szCs w:val="21"/>
                  </w:rPr>
                  <w:fldChar w:fldCharType="end"/>
                </w:r>
              </w:p>
            </w:txbxContent>
          </v:textbox>
          <w10:wrap anchorx="margin"/>
        </v:rect>
      </w:pict>
    </w:r>
    <w:r>
      <w:rPr>
        <w:sz w:val="28"/>
      </w:rPr>
      <w:pict>
        <v:rect id="文本框 5" o:spid="_x0000_s3077" style="position:absolute;left:0;text-align:left;margin-left:0;margin-top:0;width:2in;height:2in;z-index:9;mso-wrap-style:none;mso-position-horizontal:left;mso-position-horizontal-relative:margin" filled="f" stroked="f">
          <v:fill o:detectmouseclick="t"/>
          <v:textbox style="mso-fit-shape-to-text:t" inset="0,0,0,0">
            <w:txbxContent>
              <w:p w:rsidR="00000000" w:rsidRDefault="00721107">
                <w:pPr>
                  <w:ind w:rightChars="100" w:right="210"/>
                </w:pPr>
              </w:p>
            </w:txbxContent>
          </v:textbox>
          <w10:wrap anchorx="margin"/>
        </v:rect>
      </w:pict>
    </w:r>
    <w:r>
      <w:rPr>
        <w:sz w:val="28"/>
      </w:rPr>
      <w:pict>
        <v:rect id="文本框 3" o:spid="_x0000_s3078" style="position:absolute;left:0;text-align:left;margin-left:0;margin-top:0;width:2in;height:2in;z-index:10;mso-wrap-style:none;mso-position-horizontal:left;mso-position-horizontal-relative:margin" filled="f" stroked="f">
          <v:fill o:detectmouseclick="t"/>
          <v:textbox style="mso-fit-shape-to-text:t" inset="0,0,0,0">
            <w:txbxContent>
              <w:p w:rsidR="00000000" w:rsidRDefault="00721107">
                <w:pPr>
                  <w:ind w:rightChars="100" w:right="210"/>
                </w:pP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107" w:rsidRDefault="00721107">
      <w:r>
        <w:separator/>
      </w:r>
    </w:p>
  </w:footnote>
  <w:footnote w:type="continuationSeparator" w:id="0">
    <w:p w:rsidR="00721107" w:rsidRDefault="00721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D0D951"/>
    <w:multiLevelType w:val="singleLevel"/>
    <w:tmpl w:val="9BD0D951"/>
    <w:lvl w:ilvl="0">
      <w:start w:val="1"/>
      <w:numFmt w:val="decimal"/>
      <w:suff w:val="space"/>
      <w:lvlText w:val="%1."/>
      <w:lvlJc w:val="left"/>
    </w:lvl>
  </w:abstractNum>
  <w:abstractNum w:abstractNumId="1">
    <w:nsid w:val="613E9C63"/>
    <w:multiLevelType w:val="singleLevel"/>
    <w:tmpl w:val="613E9C63"/>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evenAndOddHeaders/>
  <w:drawingGridHorizontalSpacing w:val="105"/>
  <w:drawingGridVerticalSpacing w:val="156"/>
  <w:displayHorizontalDrawingGridEvery w:val="0"/>
  <w:displayVerticalDrawingGridEvery w:val="2"/>
  <w:doNotShadeFormData/>
  <w:characterSpacingControl w:val="compressPunctuation"/>
  <w:hdrShapeDefaults>
    <o:shapedefaults v:ext="edit" spidmax="3082"/>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214D"/>
    <w:rsid w:val="00022078"/>
    <w:rsid w:val="0002629E"/>
    <w:rsid w:val="00030A8A"/>
    <w:rsid w:val="00040021"/>
    <w:rsid w:val="00045BAB"/>
    <w:rsid w:val="00063906"/>
    <w:rsid w:val="000700EC"/>
    <w:rsid w:val="00082208"/>
    <w:rsid w:val="00087244"/>
    <w:rsid w:val="00087E3F"/>
    <w:rsid w:val="0009576B"/>
    <w:rsid w:val="000A6856"/>
    <w:rsid w:val="000B0914"/>
    <w:rsid w:val="000B14DE"/>
    <w:rsid w:val="000B19D5"/>
    <w:rsid w:val="000B3A4F"/>
    <w:rsid w:val="000B5773"/>
    <w:rsid w:val="000D4F35"/>
    <w:rsid w:val="000E15E8"/>
    <w:rsid w:val="000F2187"/>
    <w:rsid w:val="000F2DD3"/>
    <w:rsid w:val="001363E1"/>
    <w:rsid w:val="00147F31"/>
    <w:rsid w:val="0016024A"/>
    <w:rsid w:val="00165F93"/>
    <w:rsid w:val="00170C59"/>
    <w:rsid w:val="00172A27"/>
    <w:rsid w:val="0018171D"/>
    <w:rsid w:val="001A3B8D"/>
    <w:rsid w:val="001A4FF2"/>
    <w:rsid w:val="001A5ABF"/>
    <w:rsid w:val="001B0397"/>
    <w:rsid w:val="001B13D0"/>
    <w:rsid w:val="001B27DA"/>
    <w:rsid w:val="001C6EA8"/>
    <w:rsid w:val="001D3207"/>
    <w:rsid w:val="001D4078"/>
    <w:rsid w:val="001E6F1C"/>
    <w:rsid w:val="001F57D0"/>
    <w:rsid w:val="00211CAE"/>
    <w:rsid w:val="00217B2E"/>
    <w:rsid w:val="0022005F"/>
    <w:rsid w:val="00222B4A"/>
    <w:rsid w:val="0022789D"/>
    <w:rsid w:val="00233287"/>
    <w:rsid w:val="00242AE9"/>
    <w:rsid w:val="002539D9"/>
    <w:rsid w:val="002627B4"/>
    <w:rsid w:val="002637E1"/>
    <w:rsid w:val="002833B9"/>
    <w:rsid w:val="00286DED"/>
    <w:rsid w:val="00296367"/>
    <w:rsid w:val="002A616E"/>
    <w:rsid w:val="002A7463"/>
    <w:rsid w:val="002B1CF4"/>
    <w:rsid w:val="002E0817"/>
    <w:rsid w:val="002F0EDB"/>
    <w:rsid w:val="002F61E6"/>
    <w:rsid w:val="002F746E"/>
    <w:rsid w:val="00304C96"/>
    <w:rsid w:val="00305C57"/>
    <w:rsid w:val="003265CC"/>
    <w:rsid w:val="003270BC"/>
    <w:rsid w:val="0032727E"/>
    <w:rsid w:val="00336085"/>
    <w:rsid w:val="003520D1"/>
    <w:rsid w:val="00354C99"/>
    <w:rsid w:val="00362CE2"/>
    <w:rsid w:val="003669B3"/>
    <w:rsid w:val="00367441"/>
    <w:rsid w:val="00371A91"/>
    <w:rsid w:val="00371AEB"/>
    <w:rsid w:val="003807F4"/>
    <w:rsid w:val="003843E4"/>
    <w:rsid w:val="00387447"/>
    <w:rsid w:val="003C7ADD"/>
    <w:rsid w:val="003D2954"/>
    <w:rsid w:val="003E5E11"/>
    <w:rsid w:val="004022A6"/>
    <w:rsid w:val="0040678A"/>
    <w:rsid w:val="00413BCA"/>
    <w:rsid w:val="004339FD"/>
    <w:rsid w:val="004371FB"/>
    <w:rsid w:val="00451F2E"/>
    <w:rsid w:val="004533C6"/>
    <w:rsid w:val="004606D3"/>
    <w:rsid w:val="00472344"/>
    <w:rsid w:val="00475F84"/>
    <w:rsid w:val="004800D2"/>
    <w:rsid w:val="0048176F"/>
    <w:rsid w:val="0049182C"/>
    <w:rsid w:val="00494BAD"/>
    <w:rsid w:val="0049532A"/>
    <w:rsid w:val="004B779D"/>
    <w:rsid w:val="004C04E0"/>
    <w:rsid w:val="004C738C"/>
    <w:rsid w:val="004F1CC5"/>
    <w:rsid w:val="005027B5"/>
    <w:rsid w:val="00521C50"/>
    <w:rsid w:val="00535E6E"/>
    <w:rsid w:val="0054638B"/>
    <w:rsid w:val="00546CE7"/>
    <w:rsid w:val="00561738"/>
    <w:rsid w:val="0057410B"/>
    <w:rsid w:val="00577C30"/>
    <w:rsid w:val="00592813"/>
    <w:rsid w:val="005B0AFF"/>
    <w:rsid w:val="005B7E19"/>
    <w:rsid w:val="005D1514"/>
    <w:rsid w:val="005D228A"/>
    <w:rsid w:val="006065B7"/>
    <w:rsid w:val="00625314"/>
    <w:rsid w:val="0063239E"/>
    <w:rsid w:val="00644A29"/>
    <w:rsid w:val="00653E30"/>
    <w:rsid w:val="00656D90"/>
    <w:rsid w:val="0066206E"/>
    <w:rsid w:val="0066796C"/>
    <w:rsid w:val="00680AEC"/>
    <w:rsid w:val="00681058"/>
    <w:rsid w:val="00681290"/>
    <w:rsid w:val="006918A2"/>
    <w:rsid w:val="00694769"/>
    <w:rsid w:val="006B45D2"/>
    <w:rsid w:val="006C3D8B"/>
    <w:rsid w:val="006D1B52"/>
    <w:rsid w:val="006E20AD"/>
    <w:rsid w:val="006F4E59"/>
    <w:rsid w:val="006F5F5A"/>
    <w:rsid w:val="006F6965"/>
    <w:rsid w:val="00705EC3"/>
    <w:rsid w:val="00705EDC"/>
    <w:rsid w:val="00711479"/>
    <w:rsid w:val="00716C61"/>
    <w:rsid w:val="00716F55"/>
    <w:rsid w:val="00721107"/>
    <w:rsid w:val="007215D9"/>
    <w:rsid w:val="0072194F"/>
    <w:rsid w:val="007221E4"/>
    <w:rsid w:val="00723CD9"/>
    <w:rsid w:val="00731863"/>
    <w:rsid w:val="00772FAE"/>
    <w:rsid w:val="007969E1"/>
    <w:rsid w:val="007A181E"/>
    <w:rsid w:val="007B03F6"/>
    <w:rsid w:val="007B12B2"/>
    <w:rsid w:val="007B70BD"/>
    <w:rsid w:val="007C7769"/>
    <w:rsid w:val="007D0319"/>
    <w:rsid w:val="007D1BFA"/>
    <w:rsid w:val="007D1D73"/>
    <w:rsid w:val="007D5DE0"/>
    <w:rsid w:val="007E234C"/>
    <w:rsid w:val="007E467B"/>
    <w:rsid w:val="007F1278"/>
    <w:rsid w:val="00812B26"/>
    <w:rsid w:val="00814DD8"/>
    <w:rsid w:val="00814E15"/>
    <w:rsid w:val="00822D90"/>
    <w:rsid w:val="00827D76"/>
    <w:rsid w:val="008315A5"/>
    <w:rsid w:val="00834145"/>
    <w:rsid w:val="00837A17"/>
    <w:rsid w:val="00841EDF"/>
    <w:rsid w:val="00843145"/>
    <w:rsid w:val="00850028"/>
    <w:rsid w:val="0085303D"/>
    <w:rsid w:val="0087706D"/>
    <w:rsid w:val="0088454A"/>
    <w:rsid w:val="008911EE"/>
    <w:rsid w:val="00895CAE"/>
    <w:rsid w:val="008961F1"/>
    <w:rsid w:val="00896E7A"/>
    <w:rsid w:val="008A4517"/>
    <w:rsid w:val="008B1342"/>
    <w:rsid w:val="008B18B2"/>
    <w:rsid w:val="008C350E"/>
    <w:rsid w:val="008C5711"/>
    <w:rsid w:val="008C61E1"/>
    <w:rsid w:val="008D33BD"/>
    <w:rsid w:val="008E50C4"/>
    <w:rsid w:val="008E5308"/>
    <w:rsid w:val="008F6932"/>
    <w:rsid w:val="008F7C24"/>
    <w:rsid w:val="00900444"/>
    <w:rsid w:val="00900DDF"/>
    <w:rsid w:val="009136C7"/>
    <w:rsid w:val="00921096"/>
    <w:rsid w:val="00926B13"/>
    <w:rsid w:val="00927313"/>
    <w:rsid w:val="0093331C"/>
    <w:rsid w:val="009403C6"/>
    <w:rsid w:val="00951A81"/>
    <w:rsid w:val="0095341A"/>
    <w:rsid w:val="0095437C"/>
    <w:rsid w:val="00957644"/>
    <w:rsid w:val="00971A74"/>
    <w:rsid w:val="00972534"/>
    <w:rsid w:val="0098378D"/>
    <w:rsid w:val="009D551C"/>
    <w:rsid w:val="009D7AEC"/>
    <w:rsid w:val="009E4663"/>
    <w:rsid w:val="00A047FB"/>
    <w:rsid w:val="00A22334"/>
    <w:rsid w:val="00A32FED"/>
    <w:rsid w:val="00A7280F"/>
    <w:rsid w:val="00A81AA8"/>
    <w:rsid w:val="00A82CCE"/>
    <w:rsid w:val="00A87862"/>
    <w:rsid w:val="00AB3A8D"/>
    <w:rsid w:val="00AC25EE"/>
    <w:rsid w:val="00AC6B0E"/>
    <w:rsid w:val="00AE1DCB"/>
    <w:rsid w:val="00AE6D9E"/>
    <w:rsid w:val="00AE7CBD"/>
    <w:rsid w:val="00AF0FD4"/>
    <w:rsid w:val="00AF2E0F"/>
    <w:rsid w:val="00AF3208"/>
    <w:rsid w:val="00AF4B8B"/>
    <w:rsid w:val="00AF69DC"/>
    <w:rsid w:val="00AF768F"/>
    <w:rsid w:val="00AF7B54"/>
    <w:rsid w:val="00B0338B"/>
    <w:rsid w:val="00B0464A"/>
    <w:rsid w:val="00B133B8"/>
    <w:rsid w:val="00B3628C"/>
    <w:rsid w:val="00B440A9"/>
    <w:rsid w:val="00B476F9"/>
    <w:rsid w:val="00B47DF8"/>
    <w:rsid w:val="00B519ED"/>
    <w:rsid w:val="00B51D4B"/>
    <w:rsid w:val="00B548D4"/>
    <w:rsid w:val="00B573A8"/>
    <w:rsid w:val="00B6304D"/>
    <w:rsid w:val="00B67898"/>
    <w:rsid w:val="00B71D00"/>
    <w:rsid w:val="00B81CE2"/>
    <w:rsid w:val="00B915D6"/>
    <w:rsid w:val="00B91B8D"/>
    <w:rsid w:val="00BB1B7C"/>
    <w:rsid w:val="00BB3BC5"/>
    <w:rsid w:val="00BD009D"/>
    <w:rsid w:val="00BD62C8"/>
    <w:rsid w:val="00BD75DB"/>
    <w:rsid w:val="00BD7FD2"/>
    <w:rsid w:val="00BE33E9"/>
    <w:rsid w:val="00BF1952"/>
    <w:rsid w:val="00BF1AD2"/>
    <w:rsid w:val="00C00974"/>
    <w:rsid w:val="00C04367"/>
    <w:rsid w:val="00C05EBA"/>
    <w:rsid w:val="00C07B99"/>
    <w:rsid w:val="00C1282C"/>
    <w:rsid w:val="00C24460"/>
    <w:rsid w:val="00C26245"/>
    <w:rsid w:val="00C51B41"/>
    <w:rsid w:val="00C57DA8"/>
    <w:rsid w:val="00C75555"/>
    <w:rsid w:val="00C84211"/>
    <w:rsid w:val="00C97B7B"/>
    <w:rsid w:val="00CA060E"/>
    <w:rsid w:val="00CA34DB"/>
    <w:rsid w:val="00CB5046"/>
    <w:rsid w:val="00CB6868"/>
    <w:rsid w:val="00CD4B82"/>
    <w:rsid w:val="00CD7E67"/>
    <w:rsid w:val="00CE0B9A"/>
    <w:rsid w:val="00CE1F8F"/>
    <w:rsid w:val="00CE3223"/>
    <w:rsid w:val="00CE3DA4"/>
    <w:rsid w:val="00CE52F0"/>
    <w:rsid w:val="00CE62DF"/>
    <w:rsid w:val="00CE6ABC"/>
    <w:rsid w:val="00CF4B05"/>
    <w:rsid w:val="00D054B0"/>
    <w:rsid w:val="00D1407F"/>
    <w:rsid w:val="00D17CD5"/>
    <w:rsid w:val="00D262E0"/>
    <w:rsid w:val="00D273A5"/>
    <w:rsid w:val="00D27991"/>
    <w:rsid w:val="00D32BE6"/>
    <w:rsid w:val="00D60709"/>
    <w:rsid w:val="00D62BC3"/>
    <w:rsid w:val="00D77CA3"/>
    <w:rsid w:val="00D84E40"/>
    <w:rsid w:val="00D90884"/>
    <w:rsid w:val="00D95341"/>
    <w:rsid w:val="00DA15EA"/>
    <w:rsid w:val="00DA2FB9"/>
    <w:rsid w:val="00DA5AE0"/>
    <w:rsid w:val="00DA5EA2"/>
    <w:rsid w:val="00DC5EA4"/>
    <w:rsid w:val="00DD06BA"/>
    <w:rsid w:val="00DD52F9"/>
    <w:rsid w:val="00DD7D32"/>
    <w:rsid w:val="00DE45FB"/>
    <w:rsid w:val="00DF4787"/>
    <w:rsid w:val="00E025F6"/>
    <w:rsid w:val="00E11500"/>
    <w:rsid w:val="00E122B8"/>
    <w:rsid w:val="00E14D3B"/>
    <w:rsid w:val="00E14ED5"/>
    <w:rsid w:val="00E15228"/>
    <w:rsid w:val="00E15ADF"/>
    <w:rsid w:val="00E22457"/>
    <w:rsid w:val="00E23F6E"/>
    <w:rsid w:val="00E265A7"/>
    <w:rsid w:val="00E2663F"/>
    <w:rsid w:val="00E40EE7"/>
    <w:rsid w:val="00E53E05"/>
    <w:rsid w:val="00E60793"/>
    <w:rsid w:val="00E65447"/>
    <w:rsid w:val="00E727AC"/>
    <w:rsid w:val="00E72AE3"/>
    <w:rsid w:val="00E76BCA"/>
    <w:rsid w:val="00E858FF"/>
    <w:rsid w:val="00E86A9D"/>
    <w:rsid w:val="00E955C9"/>
    <w:rsid w:val="00EA2BF7"/>
    <w:rsid w:val="00EA3B9A"/>
    <w:rsid w:val="00EA4863"/>
    <w:rsid w:val="00EA67F0"/>
    <w:rsid w:val="00EC6F24"/>
    <w:rsid w:val="00ED398C"/>
    <w:rsid w:val="00ED6F45"/>
    <w:rsid w:val="00EF018F"/>
    <w:rsid w:val="00EF03FB"/>
    <w:rsid w:val="00EF2AA0"/>
    <w:rsid w:val="00EF5E67"/>
    <w:rsid w:val="00F001ED"/>
    <w:rsid w:val="00F4735A"/>
    <w:rsid w:val="00F52ECB"/>
    <w:rsid w:val="00F573EF"/>
    <w:rsid w:val="00F60194"/>
    <w:rsid w:val="00F81824"/>
    <w:rsid w:val="00FA25F2"/>
    <w:rsid w:val="00FA46C6"/>
    <w:rsid w:val="00FB0919"/>
    <w:rsid w:val="00FB7305"/>
    <w:rsid w:val="00FC2F0D"/>
    <w:rsid w:val="00FE06E2"/>
    <w:rsid w:val="00FF3A22"/>
    <w:rsid w:val="01D2330E"/>
    <w:rsid w:val="023B6A38"/>
    <w:rsid w:val="02C16911"/>
    <w:rsid w:val="02DB52BD"/>
    <w:rsid w:val="050C635F"/>
    <w:rsid w:val="05FF8941"/>
    <w:rsid w:val="09B10F6C"/>
    <w:rsid w:val="09D775F0"/>
    <w:rsid w:val="0A97409D"/>
    <w:rsid w:val="0E6C4056"/>
    <w:rsid w:val="0ED07E5C"/>
    <w:rsid w:val="0F8D020F"/>
    <w:rsid w:val="0FDDCA6E"/>
    <w:rsid w:val="104E60CE"/>
    <w:rsid w:val="128D43FF"/>
    <w:rsid w:val="14E173D0"/>
    <w:rsid w:val="15250840"/>
    <w:rsid w:val="15E522F0"/>
    <w:rsid w:val="17BC5001"/>
    <w:rsid w:val="183F64D4"/>
    <w:rsid w:val="19DE26FD"/>
    <w:rsid w:val="1A880997"/>
    <w:rsid w:val="1D505927"/>
    <w:rsid w:val="1D93381D"/>
    <w:rsid w:val="1E711282"/>
    <w:rsid w:val="1E82371B"/>
    <w:rsid w:val="1F13300A"/>
    <w:rsid w:val="1F585CFC"/>
    <w:rsid w:val="1F6F5922"/>
    <w:rsid w:val="1FF7CB96"/>
    <w:rsid w:val="1FFBE963"/>
    <w:rsid w:val="217472F0"/>
    <w:rsid w:val="21831B09"/>
    <w:rsid w:val="22257114"/>
    <w:rsid w:val="229F0FDC"/>
    <w:rsid w:val="231C3E29"/>
    <w:rsid w:val="234826EF"/>
    <w:rsid w:val="24E37F11"/>
    <w:rsid w:val="24F43A2F"/>
    <w:rsid w:val="25870A1F"/>
    <w:rsid w:val="25D4529B"/>
    <w:rsid w:val="2AA0747E"/>
    <w:rsid w:val="2B4D2E1A"/>
    <w:rsid w:val="2DFEFC19"/>
    <w:rsid w:val="2E65302C"/>
    <w:rsid w:val="2E766B49"/>
    <w:rsid w:val="30F00157"/>
    <w:rsid w:val="310D1C85"/>
    <w:rsid w:val="316B201F"/>
    <w:rsid w:val="32296F5A"/>
    <w:rsid w:val="33AF005B"/>
    <w:rsid w:val="354A22EC"/>
    <w:rsid w:val="35A12A09"/>
    <w:rsid w:val="36091134"/>
    <w:rsid w:val="373B27AA"/>
    <w:rsid w:val="37645B6D"/>
    <w:rsid w:val="37A44758"/>
    <w:rsid w:val="384D38EC"/>
    <w:rsid w:val="39D65971"/>
    <w:rsid w:val="3BC606A0"/>
    <w:rsid w:val="3DBD1F0D"/>
    <w:rsid w:val="3F1F8057"/>
    <w:rsid w:val="3F5AB072"/>
    <w:rsid w:val="4026444D"/>
    <w:rsid w:val="40C83C56"/>
    <w:rsid w:val="435A070C"/>
    <w:rsid w:val="45562AD0"/>
    <w:rsid w:val="45CB0510"/>
    <w:rsid w:val="46A6AE2F"/>
    <w:rsid w:val="47947AFC"/>
    <w:rsid w:val="4D9145CE"/>
    <w:rsid w:val="4DDEDBD3"/>
    <w:rsid w:val="4DF542F3"/>
    <w:rsid w:val="4E0C3F18"/>
    <w:rsid w:val="4E376061"/>
    <w:rsid w:val="4EFD0BB7"/>
    <w:rsid w:val="4FFF38A7"/>
    <w:rsid w:val="545F71FB"/>
    <w:rsid w:val="548D6A45"/>
    <w:rsid w:val="556876AD"/>
    <w:rsid w:val="558D1E6B"/>
    <w:rsid w:val="55BE263A"/>
    <w:rsid w:val="56260D65"/>
    <w:rsid w:val="567C3CF2"/>
    <w:rsid w:val="56DFBCB2"/>
    <w:rsid w:val="56F11733"/>
    <w:rsid w:val="573E46DD"/>
    <w:rsid w:val="584410E0"/>
    <w:rsid w:val="58D802CE"/>
    <w:rsid w:val="58D95D50"/>
    <w:rsid w:val="595D3DAB"/>
    <w:rsid w:val="598F587E"/>
    <w:rsid w:val="59DB0034"/>
    <w:rsid w:val="5A7744F7"/>
    <w:rsid w:val="5AAFD8B8"/>
    <w:rsid w:val="5BCBDA64"/>
    <w:rsid w:val="5BCF4727"/>
    <w:rsid w:val="5BEF733F"/>
    <w:rsid w:val="5BFA7EF6"/>
    <w:rsid w:val="5C5C6C96"/>
    <w:rsid w:val="5D6E71A4"/>
    <w:rsid w:val="5EFFF50B"/>
    <w:rsid w:val="5F274BAB"/>
    <w:rsid w:val="5F5FF9A3"/>
    <w:rsid w:val="5FBE05A1"/>
    <w:rsid w:val="5FFA4E11"/>
    <w:rsid w:val="60630D2F"/>
    <w:rsid w:val="607544CD"/>
    <w:rsid w:val="60A5DE85"/>
    <w:rsid w:val="618F629E"/>
    <w:rsid w:val="62716891"/>
    <w:rsid w:val="635F31AB"/>
    <w:rsid w:val="65757CA5"/>
    <w:rsid w:val="65BF14FC"/>
    <w:rsid w:val="666C7096"/>
    <w:rsid w:val="67046310"/>
    <w:rsid w:val="67DBA80E"/>
    <w:rsid w:val="68153BCE"/>
    <w:rsid w:val="68B66FDB"/>
    <w:rsid w:val="6A9FD96D"/>
    <w:rsid w:val="6B391278"/>
    <w:rsid w:val="6BBF86EE"/>
    <w:rsid w:val="6BFB6D2E"/>
    <w:rsid w:val="6D415DCA"/>
    <w:rsid w:val="6D98205C"/>
    <w:rsid w:val="6DECEDD4"/>
    <w:rsid w:val="6E794BCD"/>
    <w:rsid w:val="6F504752"/>
    <w:rsid w:val="6F7FE8D9"/>
    <w:rsid w:val="6FEF125D"/>
    <w:rsid w:val="6FFF6039"/>
    <w:rsid w:val="706978FC"/>
    <w:rsid w:val="70CD3D9D"/>
    <w:rsid w:val="7271444E"/>
    <w:rsid w:val="7284346E"/>
    <w:rsid w:val="73DBD82C"/>
    <w:rsid w:val="73F73823"/>
    <w:rsid w:val="744A4D27"/>
    <w:rsid w:val="755F4EA1"/>
    <w:rsid w:val="75F3408F"/>
    <w:rsid w:val="76FF6C5A"/>
    <w:rsid w:val="77DFF060"/>
    <w:rsid w:val="780008EC"/>
    <w:rsid w:val="798D4BFB"/>
    <w:rsid w:val="7B5F0904"/>
    <w:rsid w:val="7BD63250"/>
    <w:rsid w:val="7BFF45C3"/>
    <w:rsid w:val="7BFF7BA9"/>
    <w:rsid w:val="7C2B694B"/>
    <w:rsid w:val="7CC3693C"/>
    <w:rsid w:val="7D1D1B83"/>
    <w:rsid w:val="7D6D4BD6"/>
    <w:rsid w:val="7D7035DC"/>
    <w:rsid w:val="7DBDB284"/>
    <w:rsid w:val="7DF68A39"/>
    <w:rsid w:val="7DFB45AB"/>
    <w:rsid w:val="7DFE7879"/>
    <w:rsid w:val="7E5DBE2D"/>
    <w:rsid w:val="7E676FEC"/>
    <w:rsid w:val="7EAB205F"/>
    <w:rsid w:val="7EABF9FE"/>
    <w:rsid w:val="7ED7823F"/>
    <w:rsid w:val="7F7441A0"/>
    <w:rsid w:val="7F774392"/>
    <w:rsid w:val="7F8D2652"/>
    <w:rsid w:val="7F97F1F5"/>
    <w:rsid w:val="7F9F33BE"/>
    <w:rsid w:val="7FBBFC1B"/>
    <w:rsid w:val="7FBDC735"/>
    <w:rsid w:val="7FE241C3"/>
    <w:rsid w:val="7FFD2A81"/>
    <w:rsid w:val="8EF7CCC9"/>
    <w:rsid w:val="8FFF636C"/>
    <w:rsid w:val="9369EB24"/>
    <w:rsid w:val="95EADE21"/>
    <w:rsid w:val="9AD62649"/>
    <w:rsid w:val="9BDF691F"/>
    <w:rsid w:val="9DFF0FBE"/>
    <w:rsid w:val="9F45E74D"/>
    <w:rsid w:val="9FEFB149"/>
    <w:rsid w:val="A97659A3"/>
    <w:rsid w:val="B1BDB6F1"/>
    <w:rsid w:val="B57F232A"/>
    <w:rsid w:val="B8FA29A2"/>
    <w:rsid w:val="BAFECDAE"/>
    <w:rsid w:val="BBB1B4D6"/>
    <w:rsid w:val="BDFE99B1"/>
    <w:rsid w:val="BEFC2228"/>
    <w:rsid w:val="BF5ECF41"/>
    <w:rsid w:val="BFBDC847"/>
    <w:rsid w:val="BFDE589A"/>
    <w:rsid w:val="CEF6EE78"/>
    <w:rsid w:val="D3BFF1D8"/>
    <w:rsid w:val="D5FFB453"/>
    <w:rsid w:val="D673A466"/>
    <w:rsid w:val="DD7BB951"/>
    <w:rsid w:val="DDFF13CE"/>
    <w:rsid w:val="DE237F5C"/>
    <w:rsid w:val="DFD7A730"/>
    <w:rsid w:val="E3FE02C0"/>
    <w:rsid w:val="E5FFF232"/>
    <w:rsid w:val="E7F77C1E"/>
    <w:rsid w:val="EADF247E"/>
    <w:rsid w:val="EBFEC6C8"/>
    <w:rsid w:val="EEE92E3D"/>
    <w:rsid w:val="EF3E3688"/>
    <w:rsid w:val="EF53D9CA"/>
    <w:rsid w:val="EFFF63AB"/>
    <w:rsid w:val="F0FF9D7A"/>
    <w:rsid w:val="F2D65018"/>
    <w:rsid w:val="F37A88D3"/>
    <w:rsid w:val="F39D3324"/>
    <w:rsid w:val="F3C78134"/>
    <w:rsid w:val="F5FCA6D4"/>
    <w:rsid w:val="F65B96EC"/>
    <w:rsid w:val="F77FB744"/>
    <w:rsid w:val="F7F78EEC"/>
    <w:rsid w:val="F7FC94CD"/>
    <w:rsid w:val="F9FEEBE2"/>
    <w:rsid w:val="FA9B7742"/>
    <w:rsid w:val="FB5315BE"/>
    <w:rsid w:val="FBB398CA"/>
    <w:rsid w:val="FDB60F98"/>
    <w:rsid w:val="FDCD8223"/>
    <w:rsid w:val="FDE5D0F2"/>
    <w:rsid w:val="FE3B87F1"/>
    <w:rsid w:val="FEFCB575"/>
    <w:rsid w:val="FEFEA9B3"/>
    <w:rsid w:val="FEFF973F"/>
    <w:rsid w:val="FF9F32F3"/>
    <w:rsid w:val="FFDBF1E8"/>
    <w:rsid w:val="FFEC44D0"/>
    <w:rsid w:val="FFEFFE61"/>
    <w:rsid w:val="FFF5EAA7"/>
    <w:rsid w:val="FFFF3A84"/>
    <w:rsid w:val="FFFF5A87"/>
    <w:rsid w:val="FFFFB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5:chartTrackingRefBased/>
  <w15:docId w15:val="{212EFD63-3CF4-48E4-90C3-59F75666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uiPriority="99" w:unhideWhenUsed="1" w:qFormat="1"/>
    <w:lsdException w:name="endnote reference" w:uiPriority="99" w:unhideWhenUsed="1" w:qFormat="1"/>
    <w:lsdException w:name="endnote text"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tabs>
        <w:tab w:val="left" w:pos="1418"/>
      </w:tabs>
      <w:spacing w:line="360" w:lineRule="auto"/>
      <w:ind w:firstLineChars="200" w:firstLine="640"/>
      <w:outlineLvl w:val="0"/>
    </w:pPr>
    <w:rPr>
      <w:rFonts w:ascii="黑体" w:eastAsia="黑体" w:hAnsi="黑体"/>
      <w:kern w:val="44"/>
      <w:sz w:val="32"/>
    </w:rPr>
  </w:style>
  <w:style w:type="paragraph" w:styleId="2">
    <w:name w:val="heading 2"/>
    <w:basedOn w:val="a"/>
    <w:next w:val="a"/>
    <w:link w:val="2Char"/>
    <w:qFormat/>
    <w:pPr>
      <w:keepNext/>
      <w:keepLines/>
      <w:tabs>
        <w:tab w:val="left" w:pos="1418"/>
      </w:tabs>
      <w:spacing w:line="413" w:lineRule="auto"/>
      <w:ind w:firstLineChars="200" w:firstLine="643"/>
      <w:jc w:val="left"/>
      <w:outlineLvl w:val="1"/>
    </w:pPr>
    <w:rPr>
      <w:rFonts w:ascii="楷体_GB2312" w:eastAsia="楷体_GB2312" w:hAnsi="仿宋_GB2312"/>
      <w:b/>
      <w:sz w:val="32"/>
    </w:rPr>
  </w:style>
  <w:style w:type="paragraph" w:styleId="3">
    <w:name w:val="heading 3"/>
    <w:basedOn w:val="a"/>
    <w:next w:val="a"/>
    <w:link w:val="3Char"/>
    <w:qFormat/>
    <w:pPr>
      <w:keepNext/>
      <w:keepLines/>
      <w:spacing w:line="413" w:lineRule="auto"/>
      <w:ind w:left="1418" w:hanging="567"/>
      <w:outlineLvl w:val="2"/>
    </w:pPr>
    <w:rPr>
      <w:b/>
      <w:sz w:val="32"/>
    </w:rPr>
  </w:style>
  <w:style w:type="character" w:default="1" w:styleId="a0">
    <w:name w:val="Default Paragraph Font"/>
    <w:uiPriority w:val="1"/>
    <w:unhideWhenUsed/>
    <w:qForma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qFormat/>
    <w:rPr>
      <w:rFonts w:ascii="楷体_GB2312" w:eastAsia="楷体_GB2312" w:hAnsi="仿宋_GB2312"/>
      <w:b/>
      <w:kern w:val="2"/>
      <w:sz w:val="32"/>
    </w:rPr>
  </w:style>
  <w:style w:type="character" w:styleId="a3">
    <w:name w:val="page number"/>
    <w:basedOn w:val="a0"/>
    <w:uiPriority w:val="99"/>
    <w:unhideWhenUsed/>
    <w:qFormat/>
  </w:style>
  <w:style w:type="character" w:customStyle="1" w:styleId="Char3">
    <w:name w:val="文档结构图 Char3"/>
    <w:link w:val="a4"/>
    <w:uiPriority w:val="99"/>
    <w:semiHidden/>
    <w:qFormat/>
    <w:rPr>
      <w:rFonts w:ascii="Helvetica" w:hAnsi="Helvetica"/>
      <w:kern w:val="2"/>
      <w:sz w:val="24"/>
      <w:szCs w:val="24"/>
    </w:rPr>
  </w:style>
  <w:style w:type="character" w:styleId="a5">
    <w:name w:val="footnote reference"/>
    <w:uiPriority w:val="99"/>
    <w:unhideWhenUsed/>
    <w:qFormat/>
    <w:rPr>
      <w:vertAlign w:val="superscript"/>
    </w:rPr>
  </w:style>
  <w:style w:type="character" w:customStyle="1" w:styleId="Char1">
    <w:name w:val="页脚 Char1"/>
    <w:link w:val="a6"/>
    <w:qFormat/>
    <w:rPr>
      <w:kern w:val="2"/>
      <w:sz w:val="18"/>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
    <w:name w:val="正文文本 Char"/>
    <w:link w:val="a7"/>
    <w:uiPriority w:val="1"/>
    <w:qFormat/>
    <w:rPr>
      <w:rFonts w:ascii="Noto Sans Mono CJK JP Regular" w:eastAsia="Noto Sans Mono CJK JP Regular" w:hAnsi="Noto Sans Mono CJK JP Regular" w:cs="Noto Sans Mono CJK JP Regular"/>
      <w:sz w:val="32"/>
      <w:szCs w:val="32"/>
      <w:lang w:eastAsia="en-US"/>
    </w:rPr>
  </w:style>
  <w:style w:type="character" w:customStyle="1" w:styleId="Char10">
    <w:name w:val="批注主题 Char1"/>
    <w:link w:val="a8"/>
    <w:qFormat/>
    <w:rPr>
      <w:b/>
      <w:kern w:val="2"/>
      <w:sz w:val="21"/>
    </w:rPr>
  </w:style>
  <w:style w:type="character" w:customStyle="1" w:styleId="10">
    <w:name w:val="占位符文本1"/>
    <w:qFormat/>
    <w:rPr>
      <w:color w:val="808080"/>
    </w:rPr>
  </w:style>
  <w:style w:type="character" w:customStyle="1" w:styleId="CharCharCharChar">
    <w:name w:val="批注框文本 Char Char Char Char"/>
    <w:link w:val="CharChar"/>
    <w:qFormat/>
    <w:rPr>
      <w:kern w:val="2"/>
      <w:sz w:val="18"/>
    </w:rPr>
  </w:style>
  <w:style w:type="character" w:customStyle="1" w:styleId="Char11">
    <w:name w:val="批注文字 Char1"/>
    <w:link w:val="a9"/>
    <w:qFormat/>
    <w:rPr>
      <w:kern w:val="2"/>
      <w:sz w:val="21"/>
    </w:rPr>
  </w:style>
  <w:style w:type="character" w:customStyle="1" w:styleId="Char0">
    <w:name w:val="页脚 Char"/>
    <w:link w:val="11"/>
    <w:qFormat/>
    <w:rPr>
      <w:rFonts w:ascii="Times New Roman" w:eastAsia="宋体" w:hAnsi="Times New Roman"/>
      <w:sz w:val="18"/>
    </w:rPr>
  </w:style>
  <w:style w:type="character" w:styleId="aa">
    <w:name w:val="annotation reference"/>
    <w:qFormat/>
    <w:rPr>
      <w:sz w:val="21"/>
    </w:rPr>
  </w:style>
  <w:style w:type="character" w:styleId="ab">
    <w:name w:val="endnote reference"/>
    <w:uiPriority w:val="99"/>
    <w:unhideWhenUsed/>
    <w:qFormat/>
    <w:rPr>
      <w:vertAlign w:val="superscript"/>
    </w:rPr>
  </w:style>
  <w:style w:type="character" w:customStyle="1" w:styleId="Char2">
    <w:name w:val="批注文字 Char"/>
    <w:link w:val="12"/>
    <w:qFormat/>
    <w:rPr>
      <w:kern w:val="2"/>
      <w:sz w:val="21"/>
    </w:rPr>
  </w:style>
  <w:style w:type="character" w:customStyle="1" w:styleId="1Char">
    <w:name w:val="标题 1 Char"/>
    <w:link w:val="1"/>
    <w:qFormat/>
    <w:rPr>
      <w:rFonts w:ascii="黑体" w:eastAsia="黑体" w:hAnsi="黑体"/>
      <w:kern w:val="44"/>
      <w:sz w:val="32"/>
    </w:rPr>
  </w:style>
  <w:style w:type="character" w:customStyle="1" w:styleId="Char4">
    <w:name w:val="纯文本 Char"/>
    <w:link w:val="13"/>
    <w:qFormat/>
    <w:rPr>
      <w:rFonts w:ascii="宋体" w:eastAsia="宋体" w:hAnsi="Courier New"/>
    </w:rPr>
  </w:style>
  <w:style w:type="character" w:customStyle="1" w:styleId="Char5">
    <w:name w:val="文档结构图 Char"/>
    <w:link w:val="14"/>
    <w:qFormat/>
    <w:rPr>
      <w:rFonts w:ascii="宋体" w:eastAsia="宋体" w:hAnsi="Times New Roman"/>
      <w:sz w:val="18"/>
    </w:rPr>
  </w:style>
  <w:style w:type="character" w:customStyle="1" w:styleId="Char12">
    <w:name w:val="页眉 Char1"/>
    <w:link w:val="ac"/>
    <w:qFormat/>
    <w:rPr>
      <w:kern w:val="2"/>
      <w:sz w:val="18"/>
    </w:rPr>
  </w:style>
  <w:style w:type="character" w:styleId="ad">
    <w:name w:val="Strong"/>
    <w:qFormat/>
    <w:rPr>
      <w:b/>
    </w:rPr>
  </w:style>
  <w:style w:type="character" w:styleId="ae">
    <w:name w:val="Emphasis"/>
    <w:qFormat/>
    <w:rPr>
      <w:i/>
    </w:rPr>
  </w:style>
  <w:style w:type="character" w:customStyle="1" w:styleId="Char6">
    <w:name w:val="标题 Char"/>
    <w:link w:val="15"/>
    <w:qFormat/>
    <w:rPr>
      <w:rFonts w:ascii="黑体" w:eastAsia="黑体" w:hAnsi="黑体"/>
      <w:b/>
      <w:sz w:val="36"/>
    </w:rPr>
  </w:style>
  <w:style w:type="character" w:customStyle="1" w:styleId="Char7">
    <w:name w:val="页眉 Char"/>
    <w:link w:val="16"/>
    <w:qFormat/>
    <w:rPr>
      <w:rFonts w:ascii="Times New Roman" w:eastAsia="宋体" w:hAnsi="Times New Roman"/>
      <w:sz w:val="18"/>
    </w:rPr>
  </w:style>
  <w:style w:type="character" w:customStyle="1" w:styleId="Char8">
    <w:name w:val="尾注文本 Char"/>
    <w:link w:val="af"/>
    <w:uiPriority w:val="99"/>
    <w:qFormat/>
    <w:rPr>
      <w:kern w:val="2"/>
      <w:sz w:val="21"/>
    </w:rPr>
  </w:style>
  <w:style w:type="character" w:customStyle="1" w:styleId="Char13">
    <w:name w:val="文档结构图 Char1"/>
    <w:link w:val="20"/>
    <w:qFormat/>
    <w:rPr>
      <w:rFonts w:ascii="宋体"/>
      <w:kern w:val="2"/>
      <w:sz w:val="18"/>
    </w:rPr>
  </w:style>
  <w:style w:type="character" w:customStyle="1" w:styleId="17">
    <w:name w:val="批注引用1"/>
    <w:qFormat/>
    <w:rPr>
      <w:sz w:val="21"/>
    </w:rPr>
  </w:style>
  <w:style w:type="character" w:customStyle="1" w:styleId="Char20">
    <w:name w:val="文档结构图 Char2"/>
    <w:link w:val="18"/>
    <w:qFormat/>
    <w:rPr>
      <w:rFonts w:ascii="宋体"/>
      <w:kern w:val="2"/>
      <w:sz w:val="18"/>
    </w:rPr>
  </w:style>
  <w:style w:type="character" w:customStyle="1" w:styleId="Char14">
    <w:name w:val="批注框文本 Char1"/>
    <w:link w:val="af0"/>
    <w:qFormat/>
    <w:rPr>
      <w:kern w:val="2"/>
      <w:sz w:val="18"/>
    </w:rPr>
  </w:style>
  <w:style w:type="character" w:customStyle="1" w:styleId="19">
    <w:name w:val="页码1"/>
    <w:basedOn w:val="a0"/>
    <w:qFormat/>
  </w:style>
  <w:style w:type="character" w:customStyle="1" w:styleId="3Char">
    <w:name w:val="标题 3 Char"/>
    <w:link w:val="3"/>
    <w:qFormat/>
    <w:rPr>
      <w:b/>
      <w:kern w:val="2"/>
      <w:sz w:val="32"/>
    </w:rPr>
  </w:style>
  <w:style w:type="character" w:customStyle="1" w:styleId="Char9">
    <w:name w:val="批注框文本 Char"/>
    <w:link w:val="1a"/>
    <w:qFormat/>
    <w:rPr>
      <w:kern w:val="2"/>
      <w:sz w:val="18"/>
    </w:rPr>
  </w:style>
  <w:style w:type="character" w:customStyle="1" w:styleId="font31">
    <w:name w:val="font31"/>
    <w:qFormat/>
    <w:rPr>
      <w:rFonts w:ascii="仿宋_GB2312" w:eastAsia="仿宋_GB2312" w:cs="仿宋_GB2312" w:hint="default"/>
      <w:color w:val="000000"/>
      <w:sz w:val="24"/>
      <w:szCs w:val="24"/>
      <w:u w:val="none"/>
    </w:rPr>
  </w:style>
  <w:style w:type="character" w:customStyle="1" w:styleId="Chara">
    <w:name w:val="批注主题 Char"/>
    <w:link w:val="1b"/>
    <w:qFormat/>
    <w:rPr>
      <w:b/>
      <w:kern w:val="2"/>
      <w:sz w:val="21"/>
    </w:rPr>
  </w:style>
  <w:style w:type="character" w:customStyle="1" w:styleId="Charb">
    <w:name w:val="脚注文本 Char"/>
    <w:link w:val="af1"/>
    <w:uiPriority w:val="99"/>
    <w:qFormat/>
    <w:rPr>
      <w:kern w:val="2"/>
      <w:sz w:val="18"/>
      <w:szCs w:val="18"/>
    </w:rPr>
  </w:style>
  <w:style w:type="paragraph" w:customStyle="1" w:styleId="20">
    <w:name w:val="文档结构图2"/>
    <w:basedOn w:val="a"/>
    <w:link w:val="Char13"/>
    <w:qFormat/>
    <w:rPr>
      <w:rFonts w:ascii="宋体"/>
      <w:sz w:val="18"/>
    </w:rPr>
  </w:style>
  <w:style w:type="paragraph" w:styleId="a9">
    <w:name w:val="annotation text"/>
    <w:basedOn w:val="a"/>
    <w:link w:val="Char11"/>
    <w:qFormat/>
    <w:pPr>
      <w:jc w:val="left"/>
    </w:pPr>
  </w:style>
  <w:style w:type="paragraph" w:customStyle="1" w:styleId="1a">
    <w:name w:val="批注框文本1"/>
    <w:basedOn w:val="a"/>
    <w:link w:val="Char9"/>
    <w:qFormat/>
    <w:rPr>
      <w:sz w:val="18"/>
    </w:rPr>
  </w:style>
  <w:style w:type="paragraph" w:customStyle="1" w:styleId="12">
    <w:name w:val="注释文本1"/>
    <w:basedOn w:val="a"/>
    <w:link w:val="Char2"/>
    <w:qFormat/>
    <w:pPr>
      <w:jc w:val="left"/>
    </w:pPr>
  </w:style>
  <w:style w:type="paragraph" w:styleId="a8">
    <w:name w:val="annotation subject"/>
    <w:basedOn w:val="a9"/>
    <w:next w:val="a9"/>
    <w:link w:val="Char10"/>
    <w:qFormat/>
    <w:rPr>
      <w:b/>
    </w:rPr>
  </w:style>
  <w:style w:type="paragraph" w:customStyle="1" w:styleId="CharChar">
    <w:name w:val="批注框文本 Char Char"/>
    <w:basedOn w:val="a"/>
    <w:link w:val="CharCharCharChar"/>
    <w:qFormat/>
    <w:rPr>
      <w:sz w:val="18"/>
    </w:rPr>
  </w:style>
  <w:style w:type="paragraph" w:customStyle="1" w:styleId="1c">
    <w:name w:val="无间隔1"/>
    <w:qFormat/>
    <w:pPr>
      <w:widowControl w:val="0"/>
      <w:jc w:val="both"/>
    </w:pPr>
    <w:rPr>
      <w:kern w:val="2"/>
      <w:sz w:val="21"/>
    </w:rPr>
  </w:style>
  <w:style w:type="paragraph" w:customStyle="1" w:styleId="Style1">
    <w:name w:val="_Style 1"/>
    <w:basedOn w:val="a"/>
    <w:qFormat/>
    <w:pPr>
      <w:ind w:firstLineChars="200" w:firstLine="420"/>
    </w:pPr>
    <w:rPr>
      <w:rFonts w:ascii="Calibri" w:hAnsi="Calibri"/>
    </w:rPr>
  </w:style>
  <w:style w:type="paragraph" w:customStyle="1" w:styleId="Default">
    <w:name w:val="Default"/>
    <w:qFormat/>
    <w:pPr>
      <w:widowControl w:val="0"/>
      <w:autoSpaceDE w:val="0"/>
      <w:autoSpaceDN w:val="0"/>
      <w:adjustRightInd w:val="0"/>
    </w:pPr>
    <w:rPr>
      <w:rFonts w:ascii="Arial Unicode MS" w:eastAsia="Arial Unicode MS"/>
      <w:color w:val="000000"/>
      <w:sz w:val="24"/>
    </w:rPr>
  </w:style>
  <w:style w:type="paragraph" w:styleId="a4">
    <w:name w:val="Document Map"/>
    <w:basedOn w:val="a"/>
    <w:link w:val="Char3"/>
    <w:uiPriority w:val="99"/>
    <w:unhideWhenUsed/>
    <w:qFormat/>
    <w:rPr>
      <w:rFonts w:ascii="Helvetica" w:hAnsi="Helvetica"/>
      <w:sz w:val="24"/>
      <w:szCs w:val="24"/>
    </w:rPr>
  </w:style>
  <w:style w:type="paragraph" w:customStyle="1" w:styleId="1d">
    <w:name w:val="修订1"/>
    <w:qFormat/>
    <w:rPr>
      <w:kern w:val="2"/>
      <w:sz w:val="21"/>
    </w:rPr>
  </w:style>
  <w:style w:type="paragraph" w:customStyle="1" w:styleId="110">
    <w:name w:val="列出段落11"/>
    <w:basedOn w:val="a"/>
    <w:qFormat/>
    <w:pPr>
      <w:ind w:firstLineChars="200" w:firstLine="420"/>
    </w:pPr>
    <w:rPr>
      <w:rFonts w:ascii="Calibri" w:hAnsi="Calibri"/>
    </w:rPr>
  </w:style>
  <w:style w:type="paragraph" w:customStyle="1" w:styleId="15">
    <w:name w:val="标题1"/>
    <w:basedOn w:val="a"/>
    <w:next w:val="a"/>
    <w:link w:val="Char6"/>
    <w:qFormat/>
    <w:pPr>
      <w:spacing w:before="240" w:after="60"/>
      <w:jc w:val="center"/>
      <w:outlineLvl w:val="0"/>
    </w:pPr>
    <w:rPr>
      <w:rFonts w:ascii="黑体" w:eastAsia="黑体" w:hAnsi="黑体"/>
      <w:b/>
      <w:kern w:val="0"/>
      <w:sz w:val="36"/>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widowControl/>
      <w:spacing w:after="160" w:line="240" w:lineRule="exact"/>
      <w:jc w:val="left"/>
    </w:pPr>
  </w:style>
  <w:style w:type="paragraph" w:styleId="af">
    <w:name w:val="endnote text"/>
    <w:basedOn w:val="a"/>
    <w:link w:val="Char8"/>
    <w:uiPriority w:val="99"/>
    <w:unhideWhenUsed/>
    <w:qFormat/>
    <w:pPr>
      <w:snapToGrid w:val="0"/>
      <w:jc w:val="left"/>
    </w:pPr>
  </w:style>
  <w:style w:type="paragraph" w:customStyle="1" w:styleId="11">
    <w:name w:val="页脚1"/>
    <w:basedOn w:val="a"/>
    <w:link w:val="Char0"/>
    <w:qFormat/>
    <w:pPr>
      <w:tabs>
        <w:tab w:val="center" w:pos="4153"/>
        <w:tab w:val="right" w:pos="8306"/>
      </w:tabs>
      <w:snapToGrid w:val="0"/>
      <w:jc w:val="left"/>
    </w:pPr>
    <w:rPr>
      <w:kern w:val="0"/>
      <w:sz w:val="18"/>
    </w:rPr>
  </w:style>
  <w:style w:type="paragraph" w:customStyle="1" w:styleId="1b">
    <w:name w:val="批注主题1"/>
    <w:basedOn w:val="12"/>
    <w:next w:val="12"/>
    <w:link w:val="Chara"/>
    <w:qFormat/>
    <w:rPr>
      <w:b/>
    </w:rPr>
  </w:style>
  <w:style w:type="paragraph" w:customStyle="1" w:styleId="30">
    <w:name w:val="列出段落3"/>
    <w:basedOn w:val="a"/>
    <w:qFormat/>
    <w:pPr>
      <w:ind w:firstLineChars="200" w:firstLine="420"/>
    </w:pPr>
  </w:style>
  <w:style w:type="paragraph" w:customStyle="1" w:styleId="21">
    <w:name w:val="列出段落2"/>
    <w:basedOn w:val="a"/>
    <w:qFormat/>
    <w:pPr>
      <w:ind w:firstLineChars="200" w:firstLine="420"/>
    </w:pPr>
  </w:style>
  <w:style w:type="paragraph" w:customStyle="1" w:styleId="TableParagraph">
    <w:name w:val="Table Paragraph"/>
    <w:basedOn w:val="a"/>
    <w:uiPriority w:val="1"/>
    <w:qFormat/>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pPr>
      <w:widowControl/>
      <w:spacing w:after="160" w:line="240" w:lineRule="exact"/>
      <w:jc w:val="left"/>
    </w:pPr>
  </w:style>
  <w:style w:type="paragraph" w:styleId="af0">
    <w:name w:val="Balloon Text"/>
    <w:basedOn w:val="a"/>
    <w:link w:val="Char14"/>
    <w:qFormat/>
    <w:rPr>
      <w:sz w:val="18"/>
    </w:rPr>
  </w:style>
  <w:style w:type="paragraph" w:customStyle="1" w:styleId="16">
    <w:name w:val="页眉1"/>
    <w:basedOn w:val="a"/>
    <w:link w:val="Char7"/>
    <w:qFormat/>
    <w:pPr>
      <w:pBdr>
        <w:bottom w:val="single" w:sz="6" w:space="1" w:color="auto"/>
      </w:pBdr>
      <w:tabs>
        <w:tab w:val="center" w:pos="4153"/>
        <w:tab w:val="right" w:pos="8306"/>
      </w:tabs>
      <w:snapToGrid w:val="0"/>
      <w:jc w:val="center"/>
    </w:pPr>
    <w:rPr>
      <w:kern w:val="0"/>
      <w:sz w:val="18"/>
    </w:rPr>
  </w:style>
  <w:style w:type="paragraph" w:customStyle="1" w:styleId="1e">
    <w:name w:val="列出段落1"/>
    <w:basedOn w:val="a"/>
    <w:qFormat/>
    <w:pPr>
      <w:ind w:firstLineChars="200" w:firstLine="420"/>
    </w:pPr>
    <w:rPr>
      <w:rFonts w:ascii="Calibri" w:hAnsi="Calibri"/>
      <w:sz w:val="24"/>
    </w:rPr>
  </w:style>
  <w:style w:type="paragraph" w:customStyle="1" w:styleId="1f">
    <w:name w:val="修订版本号1"/>
    <w:qFormat/>
    <w:rPr>
      <w:kern w:val="2"/>
      <w:sz w:val="21"/>
    </w:rPr>
  </w:style>
  <w:style w:type="paragraph" w:customStyle="1" w:styleId="13">
    <w:name w:val="纯文本1"/>
    <w:basedOn w:val="a"/>
    <w:link w:val="Char4"/>
    <w:qFormat/>
    <w:rPr>
      <w:rFonts w:ascii="宋体" w:hAnsi="Courier New"/>
      <w:kern w:val="0"/>
      <w:sz w:val="20"/>
    </w:rPr>
  </w:style>
  <w:style w:type="paragraph" w:customStyle="1" w:styleId="p0">
    <w:name w:val="p0"/>
    <w:basedOn w:val="a"/>
    <w:qFormat/>
    <w:pPr>
      <w:widowControl/>
    </w:pPr>
    <w:rPr>
      <w:kern w:val="0"/>
    </w:rPr>
  </w:style>
  <w:style w:type="paragraph" w:customStyle="1" w:styleId="Style48">
    <w:name w:val="_Style 48"/>
    <w:basedOn w:val="a"/>
    <w:uiPriority w:val="34"/>
    <w:qFormat/>
    <w:pPr>
      <w:ind w:firstLineChars="200" w:firstLine="420"/>
    </w:pPr>
  </w:style>
  <w:style w:type="paragraph" w:styleId="af1">
    <w:name w:val="footnote text"/>
    <w:basedOn w:val="a"/>
    <w:link w:val="Charb"/>
    <w:uiPriority w:val="99"/>
    <w:unhideWhenUsed/>
    <w:qFormat/>
    <w:pPr>
      <w:snapToGrid w:val="0"/>
      <w:jc w:val="left"/>
    </w:pPr>
    <w:rPr>
      <w:sz w:val="18"/>
      <w:szCs w:val="18"/>
    </w:rPr>
  </w:style>
  <w:style w:type="paragraph" w:customStyle="1" w:styleId="18">
    <w:name w:val="文档结构图 1"/>
    <w:basedOn w:val="a"/>
    <w:link w:val="Char20"/>
    <w:qFormat/>
    <w:rPr>
      <w:rFonts w:ascii="宋体"/>
      <w:sz w:val="18"/>
    </w:rPr>
  </w:style>
  <w:style w:type="paragraph" w:styleId="a7">
    <w:name w:val="Body Text"/>
    <w:basedOn w:val="a"/>
    <w:link w:val="Char"/>
    <w:uiPriority w:val="1"/>
    <w:qFormat/>
    <w:pPr>
      <w:autoSpaceDE w:val="0"/>
      <w:autoSpaceDN w:val="0"/>
      <w:jc w:val="left"/>
    </w:pPr>
    <w:rPr>
      <w:rFonts w:ascii="Noto Sans Mono CJK JP Regular" w:eastAsia="Noto Sans Mono CJK JP Regular" w:hAnsi="Noto Sans Mono CJK JP Regular" w:cs="Noto Sans Mono CJK JP Regular"/>
      <w:kern w:val="0"/>
      <w:sz w:val="32"/>
      <w:szCs w:val="32"/>
      <w:lang w:eastAsia="en-US"/>
    </w:rPr>
  </w:style>
  <w:style w:type="paragraph" w:customStyle="1" w:styleId="22">
    <w:name w:val="修订2"/>
    <w:qFormat/>
    <w:rPr>
      <w:kern w:val="2"/>
      <w:sz w:val="21"/>
    </w:rPr>
  </w:style>
  <w:style w:type="paragraph" w:styleId="a6">
    <w:name w:val="footer"/>
    <w:basedOn w:val="a"/>
    <w:link w:val="Char1"/>
    <w:qFormat/>
    <w:pPr>
      <w:tabs>
        <w:tab w:val="center" w:pos="4153"/>
        <w:tab w:val="right" w:pos="8306"/>
      </w:tabs>
      <w:snapToGrid w:val="0"/>
      <w:jc w:val="left"/>
    </w:pPr>
    <w:rPr>
      <w:sz w:val="18"/>
    </w:rPr>
  </w:style>
  <w:style w:type="paragraph" w:styleId="ac">
    <w:name w:val="header"/>
    <w:basedOn w:val="a"/>
    <w:link w:val="Char12"/>
    <w:qFormat/>
    <w:pPr>
      <w:pBdr>
        <w:bottom w:val="single" w:sz="6" w:space="1" w:color="auto"/>
      </w:pBdr>
      <w:tabs>
        <w:tab w:val="center" w:pos="4153"/>
        <w:tab w:val="right" w:pos="8306"/>
      </w:tabs>
      <w:snapToGrid w:val="0"/>
      <w:jc w:val="center"/>
    </w:pPr>
    <w:rPr>
      <w:sz w:val="18"/>
    </w:rPr>
  </w:style>
  <w:style w:type="paragraph" w:customStyle="1" w:styleId="4">
    <w:name w:val="列出段落4"/>
    <w:basedOn w:val="a"/>
    <w:qFormat/>
    <w:pPr>
      <w:ind w:firstLineChars="200" w:firstLine="420"/>
    </w:pPr>
  </w:style>
  <w:style w:type="paragraph" w:customStyle="1" w:styleId="5">
    <w:name w:val="列出段落5"/>
    <w:basedOn w:val="a"/>
    <w:uiPriority w:val="99"/>
    <w:qFormat/>
    <w:pPr>
      <w:ind w:firstLineChars="200" w:firstLine="420"/>
    </w:pPr>
  </w:style>
  <w:style w:type="paragraph" w:customStyle="1" w:styleId="14">
    <w:name w:val="文档结构图1"/>
    <w:basedOn w:val="a"/>
    <w:link w:val="Char5"/>
    <w:qFormat/>
    <w:rPr>
      <w:rFonts w:ascii="宋体"/>
      <w:kern w:val="0"/>
      <w:sz w:val="18"/>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工信部联节〔2019〕  号</dc:title>
  <dc:subject/>
  <dc:creator>CESI</dc:creator>
  <cp:keywords/>
  <cp:lastModifiedBy>Microsoft 帐户</cp:lastModifiedBy>
  <cp:revision>2</cp:revision>
  <cp:lastPrinted>2020-06-24T11:17:00Z</cp:lastPrinted>
  <dcterms:created xsi:type="dcterms:W3CDTF">2022-04-16T18:29:00Z</dcterms:created>
  <dcterms:modified xsi:type="dcterms:W3CDTF">2022-04-16T18:29:00Z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