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EB" w:rsidRDefault="003B2FEB" w:rsidP="003B2FEB">
      <w:pPr>
        <w:widowControl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 xml:space="preserve">附表５ </w:t>
      </w:r>
    </w:p>
    <w:p w:rsidR="003B2FEB" w:rsidRDefault="003B2FEB" w:rsidP="003B2FEB">
      <w:pPr>
        <w:jc w:val="center"/>
        <w:rPr>
          <w:rFonts w:ascii="黑体" w:eastAsia="黑体" w:cs="黑体"/>
          <w:sz w:val="28"/>
          <w:szCs w:val="28"/>
        </w:rPr>
      </w:pPr>
      <w:r w:rsidRPr="00BE3758">
        <w:rPr>
          <w:rFonts w:ascii="黑体" w:eastAsia="黑体" w:cs="黑体" w:hint="eastAsia"/>
          <w:sz w:val="28"/>
          <w:szCs w:val="28"/>
        </w:rPr>
        <w:t>国家支持的农业机械推广</w:t>
      </w:r>
      <w:r>
        <w:rPr>
          <w:rFonts w:ascii="黑体" w:eastAsia="黑体" w:cs="黑体" w:hint="eastAsia"/>
          <w:sz w:val="28"/>
          <w:szCs w:val="28"/>
        </w:rPr>
        <w:t>鉴定</w:t>
      </w:r>
      <w:r w:rsidRPr="00C20AD0">
        <w:rPr>
          <w:rFonts w:ascii="黑体" w:eastAsia="黑体" w:cs="黑体" w:hint="eastAsia"/>
          <w:sz w:val="28"/>
          <w:szCs w:val="28"/>
        </w:rPr>
        <w:t>承担机构能力确认现场</w:t>
      </w:r>
      <w:r>
        <w:rPr>
          <w:rFonts w:ascii="黑体" w:eastAsia="黑体" w:cs="黑体" w:hint="eastAsia"/>
          <w:sz w:val="28"/>
          <w:szCs w:val="28"/>
        </w:rPr>
        <w:t>考评</w:t>
      </w:r>
      <w:r w:rsidRPr="00C20AD0">
        <w:rPr>
          <w:rFonts w:ascii="黑体" w:eastAsia="黑体" w:cs="黑体" w:hint="eastAsia"/>
          <w:sz w:val="28"/>
          <w:szCs w:val="28"/>
        </w:rPr>
        <w:t>表</w:t>
      </w:r>
    </w:p>
    <w:p w:rsidR="003B2FEB" w:rsidRPr="00956622" w:rsidRDefault="003B2FEB" w:rsidP="003B2FEB">
      <w:pPr>
        <w:rPr>
          <w:rFonts w:ascii="宋体"/>
          <w:b/>
          <w:bCs/>
        </w:rPr>
      </w:pPr>
      <w:r w:rsidRPr="00956622">
        <w:rPr>
          <w:rFonts w:ascii="宋体" w:hAnsi="宋体" w:cs="宋体" w:hint="eastAsia"/>
          <w:b/>
          <w:bCs/>
        </w:rPr>
        <w:t>被考评</w:t>
      </w:r>
      <w:r>
        <w:rPr>
          <w:rFonts w:ascii="宋体" w:hAnsi="宋体" w:cs="宋体" w:hint="eastAsia"/>
          <w:b/>
          <w:bCs/>
        </w:rPr>
        <w:t>单位</w:t>
      </w:r>
      <w:r w:rsidRPr="00956622">
        <w:rPr>
          <w:rFonts w:ascii="宋体" w:hAnsi="宋体" w:cs="宋体" w:hint="eastAsia"/>
          <w:b/>
          <w:bCs/>
        </w:rPr>
        <w:t>：</w:t>
      </w:r>
      <w:r>
        <w:rPr>
          <w:rFonts w:ascii="宋体" w:hAnsi="宋体" w:hint="eastAsia"/>
        </w:rPr>
        <w:t xml:space="preserve">                                                                                    </w:t>
      </w:r>
      <w:r w:rsidRPr="00396729">
        <w:rPr>
          <w:rFonts w:ascii="宋体" w:hAnsi="宋体" w:hint="eastAsia"/>
        </w:rPr>
        <w:t>任务编号：____________________</w:t>
      </w:r>
    </w:p>
    <w:tbl>
      <w:tblPr>
        <w:tblW w:w="14055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955"/>
        <w:gridCol w:w="5760"/>
        <w:gridCol w:w="720"/>
        <w:gridCol w:w="740"/>
        <w:gridCol w:w="5380"/>
      </w:tblGrid>
      <w:tr w:rsidR="003B2FEB" w:rsidRPr="005F1DFF" w:rsidTr="00525643">
        <w:trPr>
          <w:cantSplit/>
          <w:trHeight w:val="276"/>
          <w:tblHeader/>
        </w:trPr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  <w:b/>
                <w:bCs/>
              </w:rPr>
            </w:pPr>
            <w:r w:rsidRPr="005F1DFF"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95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  <w:b/>
                <w:bCs/>
              </w:rPr>
            </w:pPr>
            <w:r w:rsidRPr="005F1DFF">
              <w:rPr>
                <w:rFonts w:ascii="宋体" w:hAnsi="宋体" w:cs="宋体" w:hint="eastAsia"/>
                <w:b/>
                <w:bCs/>
              </w:rPr>
              <w:t>考评项目</w:t>
            </w:r>
          </w:p>
        </w:tc>
        <w:tc>
          <w:tcPr>
            <w:tcW w:w="57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  <w:b/>
                <w:bCs/>
              </w:rPr>
            </w:pPr>
            <w:r w:rsidRPr="005F1DFF">
              <w:rPr>
                <w:rFonts w:ascii="宋体" w:hAnsi="宋体" w:cs="宋体" w:hint="eastAsia"/>
                <w:b/>
                <w:bCs/>
              </w:rPr>
              <w:t>考</w:t>
            </w:r>
            <w:r w:rsidRPr="005F1DFF">
              <w:rPr>
                <w:rFonts w:ascii="宋体" w:hAnsi="宋体" w:cs="宋体"/>
                <w:b/>
                <w:bCs/>
              </w:rPr>
              <w:t xml:space="preserve"> </w:t>
            </w:r>
            <w:r w:rsidRPr="005F1DFF">
              <w:rPr>
                <w:rFonts w:ascii="宋体" w:hAnsi="宋体" w:cs="宋体" w:hint="eastAsia"/>
                <w:b/>
                <w:bCs/>
              </w:rPr>
              <w:t>评</w:t>
            </w:r>
            <w:r w:rsidRPr="005F1DFF">
              <w:rPr>
                <w:rFonts w:ascii="宋体" w:hAnsi="宋体" w:cs="宋体"/>
                <w:b/>
                <w:bCs/>
              </w:rPr>
              <w:t xml:space="preserve"> </w:t>
            </w:r>
            <w:r w:rsidRPr="005F1DFF">
              <w:rPr>
                <w:rFonts w:ascii="宋体" w:hAnsi="宋体" w:cs="宋体" w:hint="eastAsia"/>
                <w:b/>
                <w:bCs/>
              </w:rPr>
              <w:t>内</w:t>
            </w:r>
            <w:r w:rsidRPr="005F1DFF">
              <w:rPr>
                <w:rFonts w:ascii="宋体" w:hAnsi="宋体" w:cs="宋体"/>
                <w:b/>
                <w:bCs/>
              </w:rPr>
              <w:t xml:space="preserve"> </w:t>
            </w:r>
            <w:r w:rsidRPr="005F1DFF">
              <w:rPr>
                <w:rFonts w:ascii="宋体" w:hAnsi="宋体" w:cs="宋体" w:hint="eastAsia"/>
                <w:b/>
                <w:bCs/>
              </w:rPr>
              <w:t>容</w:t>
            </w:r>
            <w:r w:rsidRPr="005F1DFF">
              <w:rPr>
                <w:rFonts w:ascii="宋体" w:hAnsi="宋体" w:cs="宋体"/>
                <w:b/>
                <w:bCs/>
              </w:rPr>
              <w:t xml:space="preserve"> </w:t>
            </w:r>
            <w:r w:rsidRPr="005F1DFF">
              <w:rPr>
                <w:rFonts w:ascii="宋体" w:hAnsi="宋体" w:cs="宋体" w:hint="eastAsia"/>
                <w:b/>
                <w:bCs/>
              </w:rPr>
              <w:t>和</w:t>
            </w:r>
            <w:r w:rsidRPr="005F1DFF">
              <w:rPr>
                <w:rFonts w:ascii="宋体" w:hAnsi="宋体" w:cs="宋体"/>
                <w:b/>
                <w:bCs/>
              </w:rPr>
              <w:t xml:space="preserve"> </w:t>
            </w:r>
            <w:r w:rsidRPr="005F1DFF">
              <w:rPr>
                <w:rFonts w:ascii="宋体" w:hAnsi="宋体" w:cs="宋体" w:hint="eastAsia"/>
                <w:b/>
                <w:bCs/>
              </w:rPr>
              <w:t>要</w:t>
            </w:r>
            <w:r w:rsidRPr="005F1DFF">
              <w:rPr>
                <w:rFonts w:ascii="宋体" w:hAnsi="宋体" w:cs="宋体"/>
                <w:b/>
                <w:bCs/>
              </w:rPr>
              <w:t xml:space="preserve"> </w:t>
            </w:r>
            <w:r w:rsidRPr="005F1DFF">
              <w:rPr>
                <w:rFonts w:ascii="宋体" w:hAnsi="宋体" w:cs="宋体" w:hint="eastAsia"/>
                <w:b/>
                <w:bCs/>
              </w:rPr>
              <w:t>求</w:t>
            </w:r>
          </w:p>
        </w:tc>
        <w:tc>
          <w:tcPr>
            <w:tcW w:w="146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  <w:b/>
                <w:bCs/>
              </w:rPr>
            </w:pPr>
            <w:r w:rsidRPr="005F1DFF">
              <w:rPr>
                <w:rFonts w:ascii="宋体" w:hAnsi="宋体" w:cs="宋体" w:hint="eastAsia"/>
                <w:b/>
                <w:bCs/>
              </w:rPr>
              <w:t>考评意见</w:t>
            </w:r>
          </w:p>
        </w:tc>
        <w:tc>
          <w:tcPr>
            <w:tcW w:w="53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  <w:b/>
                <w:bCs/>
              </w:rPr>
            </w:pPr>
            <w:r w:rsidRPr="005F1DFF">
              <w:rPr>
                <w:rFonts w:ascii="宋体" w:hAnsi="宋体" w:cs="宋体" w:hint="eastAsia"/>
                <w:b/>
                <w:bCs/>
              </w:rPr>
              <w:t>问题与建议</w:t>
            </w:r>
          </w:p>
        </w:tc>
      </w:tr>
      <w:tr w:rsidR="003B2FEB" w:rsidRPr="005F1DFF" w:rsidTr="003B2FEB">
        <w:trPr>
          <w:cantSplit/>
          <w:trHeight w:val="181"/>
          <w:tblHeader/>
        </w:trPr>
        <w:tc>
          <w:tcPr>
            <w:tcW w:w="500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FEB" w:rsidRPr="005F1DFF" w:rsidRDefault="003B2FEB" w:rsidP="00525643">
            <w:pPr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FEB" w:rsidRPr="005F1DFF" w:rsidRDefault="003B2FEB" w:rsidP="00525643">
            <w:pPr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2FEB" w:rsidRPr="005F1DFF" w:rsidRDefault="003B2FEB" w:rsidP="00525643">
            <w:pPr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  <w:b/>
                <w:bCs/>
              </w:rPr>
            </w:pPr>
            <w:r w:rsidRPr="005F1DFF">
              <w:rPr>
                <w:rFonts w:ascii="宋体" w:hAnsi="宋体" w:cs="宋体" w:hint="eastAsia"/>
                <w:b/>
                <w:bCs/>
              </w:rPr>
              <w:t>符合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  <w:b/>
                <w:bCs/>
              </w:rPr>
            </w:pPr>
            <w:r w:rsidRPr="005F1DFF">
              <w:rPr>
                <w:rFonts w:ascii="宋体" w:hAnsi="宋体" w:cs="宋体" w:hint="eastAsia"/>
                <w:b/>
                <w:bCs/>
              </w:rPr>
              <w:t>不符合</w:t>
            </w:r>
          </w:p>
        </w:tc>
        <w:tc>
          <w:tcPr>
            <w:tcW w:w="53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2FEB" w:rsidRPr="005F1DFF" w:rsidRDefault="003B2FEB" w:rsidP="00525643">
            <w:pPr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3B2FEB" w:rsidRPr="005F1DFF" w:rsidTr="00525643">
        <w:trPr>
          <w:trHeight w:val="270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  <w:b/>
                <w:bCs/>
                <w:sz w:val="22"/>
              </w:rPr>
            </w:pPr>
            <w:proofErr w:type="gramStart"/>
            <w:r w:rsidRPr="005F1DFF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3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  <w:b/>
                <w:bCs/>
                <w:sz w:val="22"/>
              </w:rPr>
            </w:pPr>
            <w:r w:rsidRPr="005F1DFF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机构条件</w:t>
            </w:r>
          </w:p>
        </w:tc>
      </w:tr>
      <w:tr w:rsidR="003B2FEB" w:rsidRPr="005F1DFF" w:rsidTr="003B2FEB">
        <w:trPr>
          <w:trHeight w:val="794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/>
              </w:rPr>
              <w:t>1</w:t>
            </w:r>
            <w:r w:rsidRPr="005F1DFF">
              <w:rPr>
                <w:rFonts w:ascii="宋体" w:hAnsi="宋体" w:cs="宋体" w:hint="eastAsia"/>
              </w:rPr>
              <w:t>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机构资质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申请机构应为省级以上农业机械化行政主管部门所属</w:t>
            </w:r>
            <w:r>
              <w:rPr>
                <w:rFonts w:ascii="宋体" w:hAnsi="宋体" w:cs="宋体" w:hint="eastAsia"/>
              </w:rPr>
              <w:t>或者指定</w:t>
            </w:r>
            <w:r w:rsidRPr="005F1DFF">
              <w:rPr>
                <w:rFonts w:ascii="宋体" w:hAnsi="宋体" w:cs="宋体" w:hint="eastAsia"/>
              </w:rPr>
              <w:t>的农机试验鉴定机构。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B2FEB" w:rsidRPr="005F1DFF" w:rsidTr="003B2FEB">
        <w:trPr>
          <w:trHeight w:val="706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/>
              </w:rPr>
              <w:t>2</w:t>
            </w:r>
            <w:r w:rsidRPr="005F1DFF">
              <w:rPr>
                <w:rFonts w:ascii="宋体" w:hAnsi="宋体" w:cs="宋体" w:hint="eastAsia"/>
              </w:rPr>
              <w:t>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资质认定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核查</w:t>
            </w:r>
            <w:r>
              <w:rPr>
                <w:rFonts w:ascii="宋体" w:hAnsi="宋体" w:cs="宋体" w:hint="eastAsia"/>
              </w:rPr>
              <w:t>资质认定</w:t>
            </w:r>
            <w:r w:rsidRPr="005F1DFF">
              <w:rPr>
                <w:rFonts w:ascii="宋体" w:hAnsi="宋体" w:cs="宋体" w:hint="eastAsia"/>
              </w:rPr>
              <w:t>证书及其附件。申请能力</w:t>
            </w:r>
            <w:r>
              <w:rPr>
                <w:rFonts w:ascii="宋体" w:hAnsi="宋体" w:cs="宋体" w:hint="eastAsia"/>
              </w:rPr>
              <w:t>确认</w:t>
            </w:r>
            <w:r w:rsidRPr="005F1DFF">
              <w:rPr>
                <w:rFonts w:ascii="宋体" w:hAnsi="宋体" w:cs="宋体" w:hint="eastAsia"/>
              </w:rPr>
              <w:t>中所含的检测项目通过国家规定的资质认定。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B2FEB" w:rsidRPr="005F1DFF" w:rsidTr="00525643">
        <w:trPr>
          <w:trHeight w:val="270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  <w:b/>
                <w:bCs/>
                <w:sz w:val="22"/>
              </w:rPr>
            </w:pPr>
            <w:r w:rsidRPr="005F1DFF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13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  <w:b/>
                <w:bCs/>
                <w:sz w:val="22"/>
              </w:rPr>
            </w:pPr>
            <w:r w:rsidRPr="005F1DFF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质量管理</w:t>
            </w:r>
          </w:p>
        </w:tc>
      </w:tr>
      <w:tr w:rsidR="003B2FEB" w:rsidRPr="005F1DFF" w:rsidTr="003B2FEB">
        <w:trPr>
          <w:trHeight w:val="778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 w:rsidRPr="005F1DFF">
              <w:rPr>
                <w:rFonts w:ascii="宋体" w:hAnsi="宋体" w:cs="宋体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质量体系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7071D6">
              <w:rPr>
                <w:rFonts w:ascii="宋体" w:hAnsi="宋体" w:cs="宋体" w:hint="eastAsia"/>
              </w:rPr>
              <w:t>建立与鉴定工作相适应的质量管理体系，并形成包括质量手册、程序文件、作业指导书等类文件。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B2FEB" w:rsidRPr="005F1DFF" w:rsidTr="003B2FEB">
        <w:trPr>
          <w:trHeight w:val="1399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 w:rsidRPr="005F1DFF">
              <w:rPr>
                <w:rFonts w:ascii="宋体" w:hAnsi="宋体" w:cs="宋体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质量手册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7071D6">
              <w:rPr>
                <w:rFonts w:ascii="宋体" w:hAnsi="宋体" w:cs="宋体" w:hint="eastAsia"/>
              </w:rPr>
              <w:t>质量手册应覆盖质量管理体系的全部要素，对鉴定工作质量控制做出规定，至少应包括相应的机构职责、工作流程图</w:t>
            </w:r>
            <w:r>
              <w:rPr>
                <w:rFonts w:ascii="宋体" w:hAnsi="宋体" w:cs="宋体" w:hint="eastAsia"/>
              </w:rPr>
              <w:t>、</w:t>
            </w:r>
            <w:r w:rsidRPr="007071D6">
              <w:rPr>
                <w:rFonts w:ascii="宋体" w:hAnsi="宋体" w:cs="宋体" w:hint="eastAsia"/>
              </w:rPr>
              <w:t>鉴定工作程序、项目管理、文件资料控制、设备设施</w:t>
            </w:r>
            <w:r>
              <w:rPr>
                <w:rFonts w:ascii="宋体" w:hAnsi="宋体" w:cs="宋体" w:hint="eastAsia"/>
              </w:rPr>
              <w:t>管理</w:t>
            </w:r>
            <w:r w:rsidRPr="007071D6">
              <w:rPr>
                <w:rFonts w:ascii="宋体" w:hAnsi="宋体" w:cs="宋体" w:hint="eastAsia"/>
              </w:rPr>
              <w:t>、样品管理、鉴定记录</w:t>
            </w:r>
            <w:r>
              <w:rPr>
                <w:rFonts w:ascii="宋体" w:hAnsi="宋体" w:cs="宋体" w:hint="eastAsia"/>
              </w:rPr>
              <w:t>、</w:t>
            </w:r>
            <w:r w:rsidRPr="007071D6">
              <w:rPr>
                <w:rFonts w:ascii="宋体" w:hAnsi="宋体" w:cs="宋体" w:hint="eastAsia"/>
              </w:rPr>
              <w:t>鉴定报告</w:t>
            </w:r>
            <w:r>
              <w:rPr>
                <w:rFonts w:ascii="宋体" w:hAnsi="宋体" w:cs="宋体" w:hint="eastAsia"/>
              </w:rPr>
              <w:t>和检验报告</w:t>
            </w:r>
            <w:r w:rsidRPr="007071D6">
              <w:rPr>
                <w:rFonts w:ascii="宋体" w:hAnsi="宋体" w:cs="宋体" w:hint="eastAsia"/>
              </w:rPr>
              <w:t>的要求等。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B2FEB" w:rsidRPr="005F1DFF" w:rsidTr="003B2FEB">
        <w:trPr>
          <w:trHeight w:val="1122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 w:rsidRPr="005F1DFF">
              <w:rPr>
                <w:rFonts w:ascii="宋体" w:hAnsi="宋体" w:cs="宋体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文件控制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有文件控制和维护程序，对鉴定大纲和操作规范实施有效控制；有完整的相关鉴定大纲文本；保证鉴定</w:t>
            </w:r>
            <w:r>
              <w:rPr>
                <w:rFonts w:ascii="宋体" w:hAnsi="宋体" w:cs="宋体" w:hint="eastAsia"/>
              </w:rPr>
              <w:t>工作</w:t>
            </w:r>
            <w:r w:rsidRPr="005F1DFF">
              <w:rPr>
                <w:rFonts w:ascii="宋体" w:hAnsi="宋体" w:cs="宋体" w:hint="eastAsia"/>
              </w:rPr>
              <w:t>中使用鉴定大纲和标准的有效版本。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B2FEB" w:rsidRPr="005F1DFF" w:rsidTr="003B2FEB">
        <w:trPr>
          <w:trHeight w:val="697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 w:rsidRPr="005F1DFF">
              <w:rPr>
                <w:rFonts w:ascii="宋体" w:hAnsi="宋体" w:cs="宋体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内部审核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制定内部审核计划，并有效实施。</w:t>
            </w:r>
            <w:bookmarkStart w:id="0" w:name="_GoBack"/>
            <w:bookmarkEnd w:id="0"/>
            <w:r w:rsidRPr="005F1DFF">
              <w:rPr>
                <w:rFonts w:ascii="宋体" w:hAnsi="宋体" w:cs="宋体" w:hint="eastAsia"/>
              </w:rPr>
              <w:t>每年至少开展一次内部审核。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B2FEB" w:rsidRPr="005F1DFF" w:rsidTr="003B2FEB">
        <w:trPr>
          <w:trHeight w:val="692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 w:rsidRPr="005F1DFF">
              <w:rPr>
                <w:rFonts w:ascii="宋体" w:hAnsi="宋体" w:cs="宋体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管理评审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每年至少组织对质量管理体系进行一次有效的管理评审。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B2FEB" w:rsidRPr="005F1DFF" w:rsidTr="003B2FEB">
        <w:trPr>
          <w:trHeight w:val="973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 w:rsidRPr="005F1DFF">
              <w:rPr>
                <w:rFonts w:ascii="宋体" w:hAnsi="宋体" w:cs="宋体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文件执行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鉴定工作和质量管理活动应按相关质量管理文件执行。至少抽查</w:t>
            </w:r>
            <w:r w:rsidRPr="005F1DFF">
              <w:rPr>
                <w:rFonts w:ascii="宋体" w:hAnsi="宋体" w:cs="宋体"/>
              </w:rPr>
              <w:t>3</w:t>
            </w:r>
            <w:r w:rsidRPr="005F1DFF">
              <w:rPr>
                <w:rFonts w:ascii="宋体" w:hAnsi="宋体" w:cs="宋体" w:hint="eastAsia"/>
              </w:rPr>
              <w:t>个程序文件予以确认。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B2FEB" w:rsidRPr="005F1DFF" w:rsidTr="003B2FEB">
        <w:trPr>
          <w:cantSplit/>
          <w:trHeight w:val="417"/>
        </w:trPr>
        <w:tc>
          <w:tcPr>
            <w:tcW w:w="5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  <w:b/>
                <w:bCs/>
                <w:sz w:val="22"/>
              </w:rPr>
            </w:pPr>
            <w:r w:rsidRPr="005F1DFF">
              <w:rPr>
                <w:rFonts w:ascii="宋体" w:hAnsi="宋体" w:cs="宋体" w:hint="eastAsia"/>
                <w:b/>
                <w:bCs/>
                <w:sz w:val="22"/>
                <w:szCs w:val="22"/>
              </w:rPr>
              <w:lastRenderedPageBreak/>
              <w:t>三</w:t>
            </w:r>
          </w:p>
        </w:tc>
        <w:tc>
          <w:tcPr>
            <w:tcW w:w="13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  <w:b/>
                <w:bCs/>
                <w:sz w:val="22"/>
              </w:rPr>
            </w:pPr>
            <w:r w:rsidRPr="005F1DFF">
              <w:rPr>
                <w:rFonts w:cs="宋体" w:hint="eastAsia"/>
                <w:b/>
                <w:bCs/>
                <w:sz w:val="22"/>
                <w:szCs w:val="22"/>
              </w:rPr>
              <w:t>人员</w:t>
            </w:r>
            <w:r>
              <w:rPr>
                <w:rFonts w:cs="宋体" w:hint="eastAsia"/>
                <w:b/>
                <w:bCs/>
                <w:sz w:val="22"/>
                <w:szCs w:val="22"/>
              </w:rPr>
              <w:t>、设施、场所</w:t>
            </w:r>
            <w:r w:rsidRPr="005F1DFF">
              <w:rPr>
                <w:rFonts w:cs="宋体" w:hint="eastAsia"/>
                <w:b/>
                <w:bCs/>
                <w:sz w:val="22"/>
                <w:szCs w:val="22"/>
              </w:rPr>
              <w:t>条件</w:t>
            </w:r>
          </w:p>
        </w:tc>
      </w:tr>
      <w:tr w:rsidR="003B2FEB" w:rsidRPr="005F1DFF" w:rsidTr="003B2FEB">
        <w:trPr>
          <w:trHeight w:val="1269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管理层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技术负责人、质量负责人应从事农机专业工作</w:t>
            </w:r>
            <w:r w:rsidRPr="005F1DFF">
              <w:rPr>
                <w:rFonts w:ascii="宋体" w:hAnsi="宋体" w:cs="宋体"/>
              </w:rPr>
              <w:t>8</w:t>
            </w:r>
            <w:r w:rsidRPr="005F1DFF">
              <w:rPr>
                <w:rFonts w:ascii="宋体" w:hAnsi="宋体" w:cs="宋体" w:hint="eastAsia"/>
              </w:rPr>
              <w:t>年以上，并了解农机化和农机试验鉴定有关法律法规、熟悉鉴定技术和管理体系。技术负责人应具有高级技术职称。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B2FEB" w:rsidRPr="005F1DFF" w:rsidTr="003B2FEB">
        <w:trPr>
          <w:trHeight w:val="1355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0</w:t>
            </w:r>
            <w:r w:rsidRPr="005F1DFF">
              <w:rPr>
                <w:rFonts w:ascii="宋体" w:hAnsi="宋体" w:cs="宋体" w:hint="eastAsia"/>
              </w:rPr>
              <w:t>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授权签字人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授权签字人应从事农机鉴定专业工作</w:t>
            </w:r>
            <w:r w:rsidRPr="005F1DFF">
              <w:rPr>
                <w:rFonts w:ascii="宋体" w:hAnsi="宋体" w:cs="宋体"/>
              </w:rPr>
              <w:t>5</w:t>
            </w:r>
            <w:r w:rsidRPr="005F1DFF">
              <w:rPr>
                <w:rFonts w:ascii="宋体" w:hAnsi="宋体" w:cs="宋体" w:hint="eastAsia"/>
              </w:rPr>
              <w:t>年以上，具有高级技术职称，熟悉授权签字领域的鉴定大纲、标准、程序和方法。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B2FEB" w:rsidRPr="005F1DFF" w:rsidTr="003B2FEB">
        <w:trPr>
          <w:trHeight w:val="1840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 w:rsidRPr="005F1DFF"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人员配置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7071D6">
              <w:rPr>
                <w:rFonts w:ascii="宋体" w:hAnsi="宋体" w:cs="宋体" w:hint="eastAsia"/>
              </w:rPr>
              <w:t>应当配备与所从事的鉴定工作相适应的农机鉴定员和管理人员，并具备胜任本岗位工作的业务能力。</w:t>
            </w:r>
            <w:r w:rsidRPr="001767AF">
              <w:rPr>
                <w:rFonts w:ascii="宋体" w:hAnsi="宋体" w:cs="宋体" w:hint="eastAsia"/>
              </w:rPr>
              <w:t>具有相应农机鉴定工作经历的农机鉴定</w:t>
            </w:r>
            <w:proofErr w:type="gramStart"/>
            <w:r w:rsidRPr="001767AF">
              <w:rPr>
                <w:rFonts w:ascii="宋体" w:hAnsi="宋体" w:cs="宋体" w:hint="eastAsia"/>
              </w:rPr>
              <w:t>员比例</w:t>
            </w:r>
            <w:proofErr w:type="gramEnd"/>
            <w:r w:rsidRPr="001767AF">
              <w:rPr>
                <w:rFonts w:ascii="宋体" w:hAnsi="宋体" w:cs="宋体" w:hint="eastAsia"/>
              </w:rPr>
              <w:t>不得低于该机构从事鉴定工作人员总数的</w:t>
            </w:r>
            <w:r w:rsidRPr="001767AF">
              <w:rPr>
                <w:rFonts w:ascii="宋体" w:hAnsi="宋体" w:cs="宋体"/>
              </w:rPr>
              <w:t>50</w:t>
            </w:r>
            <w:r w:rsidRPr="001767AF">
              <w:rPr>
                <w:rFonts w:ascii="宋体" w:hAnsi="宋体" w:cs="宋体" w:hint="eastAsia"/>
              </w:rPr>
              <w:t>％。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B2FEB" w:rsidRPr="005F1DFF" w:rsidTr="003B2FEB">
        <w:trPr>
          <w:trHeight w:val="828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 w:rsidRPr="005F1DFF"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培训考核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农机鉴定员应当有鉴定专业培训考核记录，并考核合格。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B2FEB" w:rsidRPr="005F1DFF" w:rsidTr="00525643">
        <w:trPr>
          <w:trHeight w:val="1260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 w:rsidRPr="005F1DFF"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现场考核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抽查不少于</w:t>
            </w:r>
            <w:r w:rsidRPr="005F1DFF">
              <w:rPr>
                <w:rFonts w:ascii="宋体" w:hAnsi="宋体" w:cs="宋体"/>
              </w:rPr>
              <w:t>20%</w:t>
            </w:r>
            <w:r w:rsidRPr="005F1DFF">
              <w:rPr>
                <w:rFonts w:ascii="宋体" w:hAnsi="宋体" w:cs="宋体" w:hint="eastAsia"/>
              </w:rPr>
              <w:t>的鉴定人员（至少</w:t>
            </w:r>
            <w:r w:rsidRPr="005F1DFF">
              <w:rPr>
                <w:rFonts w:ascii="宋体" w:hAnsi="宋体" w:cs="宋体"/>
              </w:rPr>
              <w:t>10</w:t>
            </w:r>
            <w:r w:rsidRPr="005F1DFF">
              <w:rPr>
                <w:rFonts w:ascii="宋体" w:hAnsi="宋体" w:cs="宋体" w:hint="eastAsia"/>
              </w:rPr>
              <w:t>人，总数不足</w:t>
            </w:r>
            <w:r w:rsidRPr="005F1DFF">
              <w:rPr>
                <w:rFonts w:ascii="宋体" w:hAnsi="宋体" w:cs="宋体"/>
              </w:rPr>
              <w:t>10</w:t>
            </w:r>
            <w:r w:rsidRPr="005F1DFF">
              <w:rPr>
                <w:rFonts w:ascii="宋体" w:hAnsi="宋体" w:cs="宋体" w:hint="eastAsia"/>
              </w:rPr>
              <w:t>人的全部考核），被抽查人员应当通过现场座谈考核。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3B2FEB" w:rsidRPr="005F1DFF" w:rsidTr="00525643">
        <w:trPr>
          <w:trHeight w:val="1260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szCs w:val="20"/>
              </w:rPr>
              <w:t>设施、场所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szCs w:val="20"/>
              </w:rPr>
              <w:t>有专用的鉴定检测工作场所，设施条件应满足鉴定大纲要求。鉴定样品的贮存环境应保证其安全、无损坏。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</w:p>
        </w:tc>
      </w:tr>
      <w:tr w:rsidR="003B2FEB" w:rsidRPr="005F1DFF" w:rsidTr="00525643">
        <w:trPr>
          <w:trHeight w:val="417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四</w:t>
            </w:r>
          </w:p>
        </w:tc>
        <w:tc>
          <w:tcPr>
            <w:tcW w:w="13555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鉴定经历</w:t>
            </w:r>
          </w:p>
        </w:tc>
      </w:tr>
      <w:tr w:rsidR="003B2FEB" w:rsidRPr="005F1DFF" w:rsidTr="00525643">
        <w:trPr>
          <w:trHeight w:val="1260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/>
              </w:rPr>
              <w:lastRenderedPageBreak/>
              <w:t>1</w:t>
            </w:r>
            <w:r>
              <w:rPr>
                <w:rFonts w:ascii="宋体" w:hAnsi="宋体" w:cs="宋体" w:hint="eastAsia"/>
              </w:rPr>
              <w:t>5</w:t>
            </w:r>
            <w:r w:rsidRPr="005F1DFF">
              <w:rPr>
                <w:rFonts w:ascii="宋体" w:hAnsi="宋体" w:cs="宋体" w:hint="eastAsia"/>
              </w:rPr>
              <w:t>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Default="003B2FEB" w:rsidP="00525643">
            <w:pPr>
              <w:jc w:val="center"/>
              <w:rPr>
                <w:rFonts w:ascii="宋体" w:hAnsi="宋体" w:cs="宋体"/>
              </w:rPr>
            </w:pPr>
            <w:r w:rsidRPr="005F1DFF">
              <w:rPr>
                <w:rFonts w:ascii="宋体" w:hAnsi="宋体" w:cs="宋体" w:hint="eastAsia"/>
              </w:rPr>
              <w:t>鉴定报告</w:t>
            </w:r>
          </w:p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检验报告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应当提供申请认定能力相关产品的鉴定报告</w:t>
            </w:r>
            <w:r>
              <w:rPr>
                <w:rFonts w:ascii="宋体" w:hAnsi="宋体" w:cs="宋体" w:hint="eastAsia"/>
              </w:rPr>
              <w:t>和检验报告</w:t>
            </w:r>
            <w:r w:rsidRPr="005F1DFF">
              <w:rPr>
                <w:rFonts w:ascii="宋体" w:hAnsi="宋体" w:cs="宋体" w:hint="eastAsia"/>
              </w:rPr>
              <w:t>。报告的内容应符合鉴定大纲的规定，编写质量和格式应符合相应程序文件和作业指导书规定。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</w:tr>
      <w:tr w:rsidR="003B2FEB" w:rsidRPr="005F1DFF" w:rsidTr="00525643">
        <w:trPr>
          <w:trHeight w:val="714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鉴定记录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鉴定原始记录应包含足够的信息，以保证鉴定结果可予追溯。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</w:tr>
      <w:tr w:rsidR="003B2FEB" w:rsidRPr="005F1DFF" w:rsidTr="00525643">
        <w:trPr>
          <w:trHeight w:val="1260"/>
        </w:trPr>
        <w:tc>
          <w:tcPr>
            <w:tcW w:w="5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鉴定档案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鉴定项目资料应独立归档，内容至少包括</w:t>
            </w:r>
            <w:r>
              <w:rPr>
                <w:rFonts w:ascii="宋体" w:hAnsi="宋体" w:cs="宋体" w:hint="eastAsia"/>
              </w:rPr>
              <w:t>项目申请表、项目任务书、鉴定原始记录、鉴定报告和检验报告等。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</w:tr>
      <w:tr w:rsidR="003B2FEB" w:rsidRPr="005F1DFF" w:rsidTr="00525643">
        <w:trPr>
          <w:trHeight w:val="373"/>
        </w:trPr>
        <w:tc>
          <w:tcPr>
            <w:tcW w:w="500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6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关键项数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</w:tr>
      <w:tr w:rsidR="003B2FEB" w:rsidRPr="005F1DFF" w:rsidTr="00525643">
        <w:trPr>
          <w:trHeight w:val="304"/>
        </w:trPr>
        <w:tc>
          <w:tcPr>
            <w:tcW w:w="50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6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  <w:r w:rsidRPr="005F1DFF">
              <w:rPr>
                <w:rFonts w:ascii="宋体" w:hAnsi="宋体" w:cs="宋体" w:hint="eastAsia"/>
              </w:rPr>
              <w:t>非关键项数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</w:rPr>
            </w:pPr>
          </w:p>
        </w:tc>
      </w:tr>
      <w:tr w:rsidR="003B2FEB" w:rsidRPr="005F1DFF" w:rsidTr="00525643">
        <w:trPr>
          <w:cantSplit/>
          <w:trHeight w:val="1617"/>
        </w:trPr>
        <w:tc>
          <w:tcPr>
            <w:tcW w:w="500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jc w:val="center"/>
              <w:rPr>
                <w:rFonts w:ascii="宋体"/>
                <w:b/>
                <w:bCs/>
              </w:rPr>
            </w:pPr>
            <w:r w:rsidRPr="005F1DFF">
              <w:rPr>
                <w:rFonts w:ascii="宋体" w:hAnsi="宋体" w:cs="宋体" w:hint="eastAsia"/>
                <w:b/>
                <w:bCs/>
              </w:rPr>
              <w:t>综合意见</w:t>
            </w:r>
          </w:p>
        </w:tc>
        <w:tc>
          <w:tcPr>
            <w:tcW w:w="13555" w:type="dxa"/>
            <w:gridSpan w:val="5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2FEB" w:rsidRPr="005F1DFF" w:rsidRDefault="003B2FEB" w:rsidP="00525643">
            <w:pPr>
              <w:rPr>
                <w:rFonts w:ascii="宋体"/>
              </w:rPr>
            </w:pPr>
          </w:p>
        </w:tc>
      </w:tr>
      <w:tr w:rsidR="003B2FEB" w:rsidRPr="005F1DFF" w:rsidTr="00525643">
        <w:trPr>
          <w:cantSplit/>
          <w:trHeight w:val="246"/>
        </w:trPr>
        <w:tc>
          <w:tcPr>
            <w:tcW w:w="500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</w:p>
        </w:tc>
        <w:tc>
          <w:tcPr>
            <w:tcW w:w="13555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</w:rPr>
            </w:pPr>
            <w:r w:rsidRPr="005F1DFF">
              <w:rPr>
                <w:rFonts w:ascii="宋体" w:hAnsi="宋体" w:cs="宋体"/>
              </w:rPr>
              <w:t xml:space="preserve">       </w:t>
            </w:r>
            <w:r w:rsidRPr="005F1DFF">
              <w:rPr>
                <w:rFonts w:ascii="宋体" w:hAnsi="宋体" w:cs="宋体" w:hint="eastAsia"/>
              </w:rPr>
              <w:t>考评</w:t>
            </w:r>
            <w:proofErr w:type="gramStart"/>
            <w:r w:rsidRPr="005F1DFF">
              <w:rPr>
                <w:rFonts w:ascii="宋体" w:hAnsi="宋体" w:cs="宋体" w:hint="eastAsia"/>
              </w:rPr>
              <w:t>组</w:t>
            </w:r>
            <w:proofErr w:type="gramEnd"/>
            <w:r w:rsidRPr="005F1DFF">
              <w:rPr>
                <w:rFonts w:ascii="宋体" w:hAnsi="宋体" w:cs="宋体" w:hint="eastAsia"/>
              </w:rPr>
              <w:t>组长</w:t>
            </w:r>
            <w:r w:rsidRPr="005F1DFF">
              <w:rPr>
                <w:rFonts w:ascii="宋体" w:hAnsi="宋体" w:cs="宋体"/>
              </w:rPr>
              <w:t>/</w:t>
            </w:r>
            <w:r w:rsidRPr="005F1DFF">
              <w:rPr>
                <w:rFonts w:ascii="宋体" w:hAnsi="宋体" w:cs="宋体" w:hint="eastAsia"/>
              </w:rPr>
              <w:t>组员签字：</w:t>
            </w:r>
            <w:r w:rsidRPr="005F1DFF">
              <w:rPr>
                <w:rFonts w:ascii="宋体" w:hAnsi="宋体" w:cs="宋体"/>
                <w:u w:val="single"/>
              </w:rPr>
              <w:t xml:space="preserve">                             </w:t>
            </w:r>
            <w:r w:rsidRPr="005F1DFF">
              <w:rPr>
                <w:rFonts w:ascii="宋体" w:hAnsi="宋体" w:cs="宋体"/>
              </w:rPr>
              <w:t xml:space="preserve">          </w:t>
            </w:r>
            <w:r w:rsidRPr="005F1DFF">
              <w:rPr>
                <w:rFonts w:ascii="宋体" w:hAnsi="宋体" w:cs="宋体" w:hint="eastAsia"/>
              </w:rPr>
              <w:t>年</w:t>
            </w:r>
            <w:r w:rsidRPr="005F1DFF">
              <w:rPr>
                <w:rFonts w:ascii="宋体" w:hAnsi="宋体" w:cs="宋体"/>
              </w:rPr>
              <w:t xml:space="preserve">    </w:t>
            </w:r>
            <w:r w:rsidRPr="005F1DFF">
              <w:rPr>
                <w:rFonts w:ascii="宋体" w:hAnsi="宋体" w:cs="宋体" w:hint="eastAsia"/>
              </w:rPr>
              <w:t>月</w:t>
            </w:r>
            <w:r w:rsidRPr="005F1DFF">
              <w:rPr>
                <w:rFonts w:ascii="宋体" w:hAnsi="宋体" w:cs="宋体"/>
              </w:rPr>
              <w:t xml:space="preserve">    </w:t>
            </w:r>
            <w:r w:rsidRPr="005F1DFF">
              <w:rPr>
                <w:rFonts w:ascii="宋体" w:hAnsi="宋体" w:cs="宋体" w:hint="eastAsia"/>
              </w:rPr>
              <w:t>日</w:t>
            </w:r>
          </w:p>
        </w:tc>
      </w:tr>
      <w:tr w:rsidR="003B2FEB" w:rsidRPr="005F1DFF" w:rsidTr="00525643">
        <w:trPr>
          <w:trHeight w:val="57"/>
        </w:trPr>
        <w:tc>
          <w:tcPr>
            <w:tcW w:w="5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  <w:sz w:val="18"/>
                <w:szCs w:val="18"/>
              </w:rPr>
            </w:pPr>
            <w:r w:rsidRPr="005F1DFF">
              <w:rPr>
                <w:rFonts w:ascii="宋体" w:hAnsi="宋体" w:cs="宋体" w:hint="eastAsia"/>
                <w:sz w:val="18"/>
                <w:szCs w:val="18"/>
              </w:rPr>
              <w:t>注：</w:t>
            </w:r>
          </w:p>
        </w:tc>
        <w:tc>
          <w:tcPr>
            <w:tcW w:w="13555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  <w:sz w:val="18"/>
                <w:szCs w:val="18"/>
              </w:rPr>
            </w:pPr>
            <w:r w:rsidRPr="005F1DFF"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  <w:r w:rsidRPr="005F1DFF">
              <w:rPr>
                <w:rFonts w:ascii="宋体" w:hAnsi="宋体" w:cs="宋体" w:hint="eastAsia"/>
                <w:sz w:val="18"/>
                <w:szCs w:val="18"/>
              </w:rPr>
              <w:t>每一条在相应的考评意见栏中打“√”。</w:t>
            </w:r>
          </w:p>
        </w:tc>
      </w:tr>
      <w:tr w:rsidR="003B2FEB" w:rsidRPr="005F1DFF" w:rsidTr="00525643">
        <w:trPr>
          <w:trHeight w:val="5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35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  <w:sz w:val="18"/>
                <w:szCs w:val="18"/>
              </w:rPr>
            </w:pPr>
            <w:r w:rsidRPr="005F1DFF"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  <w:r w:rsidRPr="005F1DFF">
              <w:rPr>
                <w:rFonts w:ascii="宋体" w:hAnsi="宋体" w:cs="宋体" w:hint="eastAsia"/>
                <w:sz w:val="18"/>
                <w:szCs w:val="18"/>
              </w:rPr>
              <w:t>考评中发现的问题、提出的建议记录在“问题与建议”栏中。</w:t>
            </w:r>
          </w:p>
        </w:tc>
      </w:tr>
      <w:tr w:rsidR="003B2FEB" w:rsidRPr="005F1DFF" w:rsidTr="00525643">
        <w:trPr>
          <w:trHeight w:val="5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35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  <w:sz w:val="18"/>
                <w:szCs w:val="18"/>
              </w:rPr>
            </w:pPr>
            <w:r w:rsidRPr="005F1DFF"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  <w:r w:rsidRPr="005F1DFF">
              <w:rPr>
                <w:rFonts w:ascii="宋体" w:hAnsi="宋体" w:cs="宋体" w:hint="eastAsia"/>
                <w:sz w:val="18"/>
                <w:szCs w:val="18"/>
              </w:rPr>
              <w:t>带“</w:t>
            </w:r>
            <w:r w:rsidRPr="005F1DFF">
              <w:rPr>
                <w:rFonts w:ascii="宋体" w:hAnsi="宋体" w:cs="宋体" w:hint="eastAsia"/>
              </w:rPr>
              <w:t>※</w:t>
            </w:r>
            <w:r w:rsidRPr="005F1DFF">
              <w:rPr>
                <w:rFonts w:ascii="宋体" w:hAnsi="宋体" w:cs="宋体" w:hint="eastAsia"/>
                <w:sz w:val="18"/>
                <w:szCs w:val="18"/>
              </w:rPr>
              <w:t>”的考评项目为“关键项”，其余项目为“非关键项”。</w:t>
            </w:r>
          </w:p>
        </w:tc>
      </w:tr>
      <w:tr w:rsidR="003B2FEB" w:rsidRPr="005F1DFF" w:rsidTr="00525643">
        <w:trPr>
          <w:trHeight w:val="5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35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 w:hAnsi="宋体" w:cs="宋体"/>
                <w:sz w:val="18"/>
                <w:szCs w:val="18"/>
              </w:rPr>
            </w:pPr>
            <w:r w:rsidRPr="004B071E">
              <w:rPr>
                <w:rFonts w:ascii="宋体" w:hAnsi="宋体" w:cs="宋体" w:hint="eastAsia"/>
                <w:sz w:val="18"/>
                <w:szCs w:val="18"/>
              </w:rPr>
              <w:t>4.</w:t>
            </w:r>
            <w:r w:rsidRPr="004B071E">
              <w:rPr>
                <w:rFonts w:ascii="宋体" w:hAnsi="宋体" w:cs="宋体"/>
                <w:sz w:val="18"/>
                <w:szCs w:val="18"/>
              </w:rPr>
              <w:t>现场考评结论分为“通过”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4B071E">
              <w:rPr>
                <w:rFonts w:ascii="宋体" w:hAnsi="宋体" w:cs="宋体"/>
                <w:sz w:val="18"/>
                <w:szCs w:val="18"/>
              </w:rPr>
              <w:t>“不通过”和“基本通过，需整改后确认”三种。考评项目全部“符合”，</w:t>
            </w:r>
            <w:proofErr w:type="gramStart"/>
            <w:r w:rsidRPr="004B071E">
              <w:rPr>
                <w:rFonts w:ascii="宋体" w:hAnsi="宋体" w:cs="宋体"/>
                <w:sz w:val="18"/>
                <w:szCs w:val="18"/>
              </w:rPr>
              <w:t>则现场</w:t>
            </w:r>
            <w:proofErr w:type="gramEnd"/>
            <w:r w:rsidRPr="004B071E">
              <w:rPr>
                <w:rFonts w:ascii="宋体" w:hAnsi="宋体" w:cs="宋体"/>
                <w:sz w:val="18"/>
                <w:szCs w:val="18"/>
              </w:rPr>
              <w:t>考评结论为“通过”；关键项出现“不符合”，</w:t>
            </w:r>
            <w:proofErr w:type="gramStart"/>
            <w:r w:rsidRPr="004B071E">
              <w:rPr>
                <w:rFonts w:ascii="宋体" w:hAnsi="宋体" w:cs="宋体"/>
                <w:sz w:val="18"/>
                <w:szCs w:val="18"/>
              </w:rPr>
              <w:t>则现场</w:t>
            </w:r>
            <w:proofErr w:type="gramEnd"/>
            <w:r w:rsidRPr="004B071E">
              <w:rPr>
                <w:rFonts w:ascii="宋体" w:hAnsi="宋体" w:cs="宋体"/>
                <w:sz w:val="18"/>
                <w:szCs w:val="18"/>
              </w:rPr>
              <w:t>考评结论为“不通过”；非关键项出现“不符合”，</w:t>
            </w:r>
            <w:proofErr w:type="gramStart"/>
            <w:r w:rsidRPr="004B071E">
              <w:rPr>
                <w:rFonts w:ascii="宋体" w:hAnsi="宋体" w:cs="宋体"/>
                <w:sz w:val="18"/>
                <w:szCs w:val="18"/>
              </w:rPr>
              <w:t>则现场</w:t>
            </w:r>
            <w:proofErr w:type="gramEnd"/>
            <w:r w:rsidRPr="004B071E">
              <w:rPr>
                <w:rFonts w:ascii="宋体" w:hAnsi="宋体" w:cs="宋体"/>
                <w:sz w:val="18"/>
                <w:szCs w:val="18"/>
              </w:rPr>
              <w:t>考评结论为“基本通过，需整改后确认”。</w:t>
            </w:r>
          </w:p>
        </w:tc>
      </w:tr>
      <w:tr w:rsidR="003B2FEB" w:rsidRPr="005F1DFF" w:rsidTr="00525643">
        <w:trPr>
          <w:trHeight w:val="5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35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2FEB" w:rsidRPr="005F1DFF" w:rsidRDefault="003B2FEB" w:rsidP="0052564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5.</w:t>
            </w:r>
            <w:r w:rsidRPr="00C11F0D">
              <w:rPr>
                <w:rFonts w:ascii="宋体" w:hAnsi="宋体" w:cs="宋体"/>
                <w:sz w:val="18"/>
                <w:szCs w:val="18"/>
              </w:rPr>
              <w:t>现场考评为“基本通过，需整改确认”的，被考评机构对不符合</w:t>
            </w:r>
            <w:proofErr w:type="gramStart"/>
            <w:r w:rsidRPr="00C11F0D">
              <w:rPr>
                <w:rFonts w:ascii="宋体" w:hAnsi="宋体" w:cs="宋体"/>
                <w:sz w:val="18"/>
                <w:szCs w:val="18"/>
              </w:rPr>
              <w:t>项提出</w:t>
            </w:r>
            <w:proofErr w:type="gramEnd"/>
            <w:r w:rsidRPr="00C11F0D">
              <w:rPr>
                <w:rFonts w:ascii="宋体" w:hAnsi="宋体" w:cs="宋体"/>
                <w:sz w:val="18"/>
                <w:szCs w:val="18"/>
              </w:rPr>
              <w:t>整改措施，并在1个月内将整改情况报考评组。</w:t>
            </w:r>
          </w:p>
        </w:tc>
      </w:tr>
    </w:tbl>
    <w:p w:rsidR="00B011E6" w:rsidRPr="003B2FEB" w:rsidRDefault="00B011E6">
      <w:pPr>
        <w:rPr>
          <w:b/>
        </w:rPr>
      </w:pPr>
    </w:p>
    <w:sectPr w:rsidR="00B011E6" w:rsidRPr="003B2FEB" w:rsidSect="003B2FE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CF" w:rsidRDefault="00100BCF" w:rsidP="003B2FEB">
      <w:r>
        <w:separator/>
      </w:r>
    </w:p>
  </w:endnote>
  <w:endnote w:type="continuationSeparator" w:id="0">
    <w:p w:rsidR="00100BCF" w:rsidRDefault="00100BCF" w:rsidP="003B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CF" w:rsidRDefault="00100BCF" w:rsidP="003B2FEB">
      <w:r>
        <w:separator/>
      </w:r>
    </w:p>
  </w:footnote>
  <w:footnote w:type="continuationSeparator" w:id="0">
    <w:p w:rsidR="00100BCF" w:rsidRDefault="00100BCF" w:rsidP="003B2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6F"/>
    <w:rsid w:val="00100BCF"/>
    <w:rsid w:val="003B2FEB"/>
    <w:rsid w:val="00656B6F"/>
    <w:rsid w:val="00B0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F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2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2FEB"/>
    <w:rPr>
      <w:kern w:val="2"/>
      <w:sz w:val="18"/>
      <w:szCs w:val="18"/>
    </w:rPr>
  </w:style>
  <w:style w:type="paragraph" w:styleId="a4">
    <w:name w:val="footer"/>
    <w:basedOn w:val="a"/>
    <w:link w:val="Char0"/>
    <w:rsid w:val="003B2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2F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F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2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2FEB"/>
    <w:rPr>
      <w:kern w:val="2"/>
      <w:sz w:val="18"/>
      <w:szCs w:val="18"/>
    </w:rPr>
  </w:style>
  <w:style w:type="paragraph" w:styleId="a4">
    <w:name w:val="footer"/>
    <w:basedOn w:val="a"/>
    <w:link w:val="Char0"/>
    <w:rsid w:val="003B2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2F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张萌</cp:lastModifiedBy>
  <cp:revision>2</cp:revision>
  <dcterms:created xsi:type="dcterms:W3CDTF">2019-05-09T02:22:00Z</dcterms:created>
  <dcterms:modified xsi:type="dcterms:W3CDTF">2019-05-09T02:25:00Z</dcterms:modified>
</cp:coreProperties>
</file>