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cs="Times New Roman"/>
          <w:color w:val="auto"/>
          <w:highlight w:val="none"/>
        </w:rPr>
      </w:pPr>
    </w:p>
    <w:p>
      <w:pPr>
        <w:spacing w:line="360" w:lineRule="auto"/>
        <w:rPr>
          <w:rFonts w:hint="default" w:ascii="Times New Roman" w:hAnsi="Times New Roman" w:cs="Times New Roman"/>
          <w:color w:val="auto"/>
          <w:sz w:val="30"/>
          <w:szCs w:val="30"/>
          <w:highlight w:val="none"/>
        </w:rPr>
      </w:pPr>
    </w:p>
    <w:p>
      <w:pPr>
        <w:spacing w:line="360" w:lineRule="auto"/>
        <w:rPr>
          <w:rFonts w:hint="default" w:ascii="Times New Roman" w:hAnsi="Times New Roman" w:cs="Times New Roman"/>
          <w:color w:val="auto"/>
          <w:sz w:val="30"/>
          <w:szCs w:val="30"/>
          <w:highlight w:val="none"/>
        </w:rPr>
      </w:pPr>
    </w:p>
    <w:p>
      <w:pPr>
        <w:spacing w:line="360" w:lineRule="auto"/>
        <w:rPr>
          <w:rFonts w:hint="default" w:ascii="Times New Roman" w:hAnsi="Times New Roman" w:cs="Times New Roman"/>
          <w:color w:val="auto"/>
          <w:sz w:val="30"/>
          <w:szCs w:val="30"/>
          <w:highlight w:val="none"/>
        </w:rPr>
      </w:pPr>
    </w:p>
    <w:p>
      <w:pPr>
        <w:spacing w:line="360" w:lineRule="auto"/>
        <w:jc w:val="center"/>
        <w:rPr>
          <w:rFonts w:hint="default" w:ascii="Times New Roman" w:hAnsi="Times New Roman" w:eastAsia="方正小标宋简体" w:cs="Times New Roman"/>
          <w:color w:val="auto"/>
          <w:sz w:val="52"/>
          <w:szCs w:val="52"/>
          <w:highlight w:val="none"/>
        </w:rPr>
      </w:pPr>
      <w:r>
        <w:rPr>
          <w:rFonts w:hint="default" w:ascii="Times New Roman" w:hAnsi="Times New Roman" w:eastAsia="方正小标宋简体" w:cs="Times New Roman"/>
          <w:color w:val="auto"/>
          <w:sz w:val="52"/>
          <w:szCs w:val="52"/>
          <w:highlight w:val="none"/>
          <w:lang w:val="en-US" w:eastAsia="zh-CN"/>
        </w:rPr>
        <w:t>贵州省</w:t>
      </w:r>
      <w:r>
        <w:rPr>
          <w:rFonts w:hint="default" w:ascii="Times New Roman" w:hAnsi="Times New Roman" w:eastAsia="方正小标宋简体" w:cs="Times New Roman"/>
          <w:color w:val="auto"/>
          <w:sz w:val="52"/>
          <w:szCs w:val="52"/>
          <w:highlight w:val="none"/>
        </w:rPr>
        <w:t>绿色制造体系建设评价指南</w:t>
      </w:r>
    </w:p>
    <w:p>
      <w:pPr>
        <w:spacing w:line="360" w:lineRule="auto"/>
        <w:jc w:val="center"/>
        <w:rPr>
          <w:rFonts w:hint="default" w:ascii="Times New Roman" w:hAnsi="Times New Roman" w:eastAsia="楷体" w:cs="Times New Roman"/>
          <w:color w:val="auto"/>
          <w:sz w:val="44"/>
          <w:szCs w:val="44"/>
          <w:highlight w:val="none"/>
        </w:rPr>
      </w:pPr>
      <w:r>
        <w:rPr>
          <w:rFonts w:hint="default" w:ascii="Times New Roman" w:hAnsi="Times New Roman" w:eastAsia="楷体" w:cs="Times New Roman"/>
          <w:color w:val="auto"/>
          <w:sz w:val="44"/>
          <w:szCs w:val="44"/>
          <w:highlight w:val="none"/>
          <w:lang w:val="en-US" w:eastAsia="zh-CN"/>
        </w:rPr>
        <w:t>（202</w:t>
      </w:r>
      <w:r>
        <w:rPr>
          <w:rFonts w:hint="eastAsia" w:ascii="Times New Roman" w:hAnsi="Times New Roman" w:eastAsia="楷体" w:cs="Times New Roman"/>
          <w:color w:val="auto"/>
          <w:sz w:val="44"/>
          <w:szCs w:val="44"/>
          <w:highlight w:val="none"/>
          <w:lang w:val="en-US" w:eastAsia="zh-CN"/>
        </w:rPr>
        <w:t>4</w:t>
      </w:r>
      <w:r>
        <w:rPr>
          <w:rFonts w:hint="default" w:ascii="Times New Roman" w:hAnsi="Times New Roman" w:eastAsia="楷体" w:cs="Times New Roman"/>
          <w:color w:val="auto"/>
          <w:sz w:val="44"/>
          <w:szCs w:val="44"/>
          <w:highlight w:val="none"/>
          <w:lang w:val="en-US" w:eastAsia="zh-CN"/>
        </w:rPr>
        <w:t>年）</w:t>
      </w: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tabs>
          <w:tab w:val="left" w:pos="6763"/>
        </w:tabs>
        <w:spacing w:line="360" w:lineRule="auto"/>
        <w:ind w:firstLine="3900" w:firstLineChars="1300"/>
        <w:jc w:val="both"/>
        <w:rPr>
          <w:rFonts w:hint="default" w:ascii="Times New Roman" w:hAnsi="Times New Roman" w:eastAsia="黑体" w:cs="Times New Roman"/>
          <w:color w:val="auto"/>
          <w:sz w:val="30"/>
          <w:szCs w:val="30"/>
          <w:highlight w:val="none"/>
          <w:lang w:eastAsia="zh-CN"/>
        </w:rPr>
      </w:pPr>
      <w:r>
        <w:rPr>
          <w:rFonts w:hint="default" w:ascii="Times New Roman" w:hAnsi="Times New Roman" w:eastAsia="黑体" w:cs="Times New Roman"/>
          <w:color w:val="auto"/>
          <w:sz w:val="30"/>
          <w:szCs w:val="30"/>
          <w:highlight w:val="none"/>
          <w:lang w:eastAsia="zh-CN"/>
        </w:rPr>
        <w:tab/>
      </w: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pStyle w:val="2"/>
        <w:rPr>
          <w:rFonts w:hint="default" w:ascii="Times New Roman" w:hAnsi="Times New Roman" w:eastAsia="黑体" w:cs="Times New Roman"/>
          <w:color w:val="auto"/>
          <w:sz w:val="30"/>
          <w:szCs w:val="30"/>
          <w:highlight w:val="none"/>
        </w:rPr>
      </w:pPr>
    </w:p>
    <w:p>
      <w:pPr>
        <w:rPr>
          <w:rFonts w:hint="default" w:ascii="Times New Roman" w:hAnsi="Times New Roman" w:cs="Times New Roman"/>
        </w:rPr>
      </w:pPr>
    </w:p>
    <w:p>
      <w:pPr>
        <w:spacing w:line="360" w:lineRule="auto"/>
        <w:ind w:firstLine="3900" w:firstLineChars="1300"/>
        <w:jc w:val="both"/>
        <w:rPr>
          <w:rFonts w:hint="default" w:ascii="Times New Roman" w:hAnsi="Times New Roman" w:eastAsia="黑体" w:cs="Times New Roman"/>
          <w:color w:val="auto"/>
          <w:sz w:val="30"/>
          <w:szCs w:val="30"/>
          <w:highlight w:val="none"/>
        </w:rPr>
      </w:pPr>
    </w:p>
    <w:p>
      <w:pPr>
        <w:spacing w:line="360" w:lineRule="auto"/>
        <w:jc w:val="center"/>
        <w:rPr>
          <w:rFonts w:hint="default" w:ascii="Times New Roman" w:hAnsi="Times New Roman" w:eastAsia="楷体" w:cs="Times New Roman"/>
          <w:color w:val="auto"/>
          <w:sz w:val="32"/>
          <w:szCs w:val="32"/>
          <w:highlight w:val="none"/>
          <w:lang w:eastAsia="zh-CN"/>
        </w:rPr>
      </w:pPr>
      <w:r>
        <w:rPr>
          <w:rFonts w:hint="default" w:ascii="Times New Roman" w:hAnsi="Times New Roman" w:eastAsia="楷体" w:cs="Times New Roman"/>
          <w:color w:val="auto"/>
          <w:sz w:val="32"/>
          <w:szCs w:val="32"/>
          <w:highlight w:val="none"/>
          <w:lang w:eastAsia="zh-CN"/>
        </w:rPr>
        <w:t>贵州省工业和信息化厅</w:t>
      </w:r>
    </w:p>
    <w:p>
      <w:pPr>
        <w:spacing w:line="360" w:lineRule="auto"/>
        <w:ind w:firstLine="4160" w:firstLineChars="1300"/>
        <w:jc w:val="both"/>
        <w:rPr>
          <w:rFonts w:hint="default" w:ascii="Times New Roman" w:hAnsi="Times New Roman" w:eastAsia="黑体" w:cs="Times New Roman"/>
          <w:color w:val="auto"/>
          <w:sz w:val="32"/>
          <w:szCs w:val="32"/>
          <w:highlight w:val="none"/>
        </w:rPr>
      </w:pPr>
    </w:p>
    <w:p>
      <w:pPr>
        <w:pStyle w:val="47"/>
        <w:rPr>
          <w:rFonts w:hint="default" w:ascii="Times New Roman" w:hAnsi="Times New Roman" w:eastAsia="黑体" w:cs="Times New Roman"/>
          <w:color w:val="auto"/>
          <w:sz w:val="32"/>
          <w:szCs w:val="32"/>
          <w:highlight w:val="none"/>
        </w:rPr>
      </w:pPr>
    </w:p>
    <w:p>
      <w:pPr>
        <w:pStyle w:val="47"/>
        <w:rPr>
          <w:rFonts w:hint="default" w:ascii="Times New Roman" w:hAnsi="Times New Roman" w:eastAsia="黑体" w:cs="Times New Roman"/>
          <w:color w:val="auto"/>
          <w:sz w:val="32"/>
          <w:szCs w:val="32"/>
          <w:highlight w:val="none"/>
        </w:rPr>
      </w:pPr>
    </w:p>
    <w:sdt>
      <w:sdtPr>
        <w:rPr>
          <w:rFonts w:hint="default" w:ascii="Times New Roman" w:hAnsi="Times New Roman" w:eastAsia="宋体" w:cs="Times New Roman"/>
          <w:color w:val="auto"/>
          <w:kern w:val="2"/>
          <w:sz w:val="21"/>
          <w:szCs w:val="22"/>
          <w:highlight w:val="none"/>
          <w:lang w:val="en-US" w:eastAsia="zh-CN" w:bidi="ar-SA"/>
        </w:rPr>
        <w:id w:val="147458220"/>
        <w15:color w:val="DBDBDB"/>
        <w:docPartObj>
          <w:docPartGallery w:val="Table of Contents"/>
          <w:docPartUnique/>
        </w:docPartObj>
      </w:sdtPr>
      <w:sdtEndPr>
        <w:rPr>
          <w:rFonts w:hint="default" w:ascii="Times New Roman" w:hAnsi="Times New Roman" w:eastAsia="黑体" w:cs="Times New Roman"/>
          <w:color w:val="auto"/>
          <w:kern w:val="2"/>
          <w:sz w:val="21"/>
          <w:szCs w:val="32"/>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eastAsia="方正小标宋简体" w:cs="Times New Roman"/>
              <w:color w:val="auto"/>
              <w:sz w:val="32"/>
              <w:szCs w:val="32"/>
              <w:highlight w:val="none"/>
            </w:rPr>
            <w:t>目</w:t>
          </w:r>
          <w:r>
            <w:rPr>
              <w:rFonts w:hint="default" w:ascii="Times New Roman" w:hAnsi="Times New Roman" w:eastAsia="方正小标宋简体" w:cs="Times New Roman"/>
              <w:color w:val="auto"/>
              <w:sz w:val="32"/>
              <w:szCs w:val="32"/>
              <w:highlight w:val="none"/>
              <w:lang w:val="en-US" w:eastAsia="zh-CN"/>
            </w:rPr>
            <w:t xml:space="preserve"> </w:t>
          </w:r>
          <w:r>
            <w:rPr>
              <w:rFonts w:hint="default" w:ascii="Times New Roman" w:hAnsi="Times New Roman" w:eastAsia="方正小标宋简体" w:cs="Times New Roman"/>
              <w:color w:val="auto"/>
              <w:sz w:val="32"/>
              <w:szCs w:val="32"/>
              <w:highlight w:val="none"/>
            </w:rPr>
            <w:t>录</w:t>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32"/>
              <w:szCs w:val="32"/>
              <w:highlight w:val="none"/>
            </w:rPr>
            <w:fldChar w:fldCharType="begin"/>
          </w:r>
          <w:r>
            <w:rPr>
              <w:rFonts w:hint="default" w:ascii="Times New Roman" w:hAnsi="Times New Roman" w:eastAsia="黑体" w:cs="Times New Roman"/>
              <w:color w:val="auto"/>
              <w:sz w:val="32"/>
              <w:szCs w:val="32"/>
              <w:highlight w:val="none"/>
            </w:rPr>
            <w:instrText xml:space="preserve">TOC \o "1-2" \h \u </w:instrText>
          </w:r>
          <w:r>
            <w:rPr>
              <w:rFonts w:hint="default" w:ascii="Times New Roman" w:hAnsi="Times New Roman" w:eastAsia="黑体" w:cs="Times New Roman"/>
              <w:color w:val="auto"/>
              <w:sz w:val="32"/>
              <w:szCs w:val="32"/>
              <w:highlight w:val="none"/>
            </w:rPr>
            <w:fldChar w:fldCharType="separate"/>
          </w: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_Toc21153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rPr>
            <w:t>前</w:t>
          </w:r>
          <w:r>
            <w:rPr>
              <w:rFonts w:hint="default" w:ascii="Times New Roman" w:hAnsi="Times New Roman" w:eastAsia="黑体" w:cs="Times New Roman"/>
              <w:bCs w:val="0"/>
              <w:color w:val="auto"/>
              <w:sz w:val="24"/>
              <w:szCs w:val="24"/>
              <w:highlight w:val="none"/>
              <w:lang w:val="en-US" w:eastAsia="zh-CN"/>
            </w:rPr>
            <w:t xml:space="preserve"> </w:t>
          </w:r>
          <w:r>
            <w:rPr>
              <w:rFonts w:hint="default" w:ascii="Times New Roman" w:hAnsi="Times New Roman" w:eastAsia="黑体" w:cs="Times New Roman"/>
              <w:bCs w:val="0"/>
              <w:color w:val="auto"/>
              <w:sz w:val="24"/>
              <w:szCs w:val="24"/>
              <w:highlight w:val="none"/>
            </w:rPr>
            <w:t>言</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_Toc21153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_Toc12877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rPr>
            <w:t>一、建设内容</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_Toc12877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_Toc19407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rPr>
            <w:t>（一）绿色工厂</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4</w:t>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_Toc14055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rPr>
            <w:t>（二）绿色</w:t>
          </w:r>
          <w:r>
            <w:rPr>
              <w:rFonts w:hint="default" w:ascii="Times New Roman" w:hAnsi="Times New Roman" w:eastAsia="楷体" w:cs="Times New Roman"/>
              <w:bCs w:val="0"/>
              <w:color w:val="auto"/>
              <w:sz w:val="24"/>
              <w:szCs w:val="24"/>
              <w:highlight w:val="none"/>
              <w:lang w:val="en-US" w:eastAsia="zh-CN"/>
            </w:rPr>
            <w:t>工业</w:t>
          </w:r>
          <w:r>
            <w:rPr>
              <w:rFonts w:hint="default" w:ascii="Times New Roman" w:hAnsi="Times New Roman" w:eastAsia="楷体" w:cs="Times New Roman"/>
              <w:bCs w:val="0"/>
              <w:color w:val="auto"/>
              <w:sz w:val="24"/>
              <w:szCs w:val="24"/>
              <w:highlight w:val="none"/>
            </w:rPr>
            <w:t>园区</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_Toc14055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_Toc27448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rPr>
            <w:t>（三）绿色设计产品</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_Toc27448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_Toc22567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rPr>
            <w:t>（四）绿色供应链</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_Toc22567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_Toc29612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lang w:val="en-US" w:eastAsia="zh-CN"/>
            </w:rPr>
            <w:t>二</w:t>
          </w:r>
          <w:r>
            <w:rPr>
              <w:rFonts w:hint="default" w:ascii="Times New Roman" w:hAnsi="Times New Roman" w:eastAsia="黑体" w:cs="Times New Roman"/>
              <w:bCs w:val="0"/>
              <w:color w:val="auto"/>
              <w:sz w:val="24"/>
              <w:szCs w:val="24"/>
              <w:highlight w:val="none"/>
            </w:rPr>
            <w:t>、工作</w:t>
          </w:r>
          <w:r>
            <w:rPr>
              <w:rFonts w:hint="default" w:ascii="Times New Roman" w:hAnsi="Times New Roman" w:eastAsia="黑体" w:cs="Times New Roman"/>
              <w:bCs w:val="0"/>
              <w:color w:val="auto"/>
              <w:sz w:val="24"/>
              <w:szCs w:val="24"/>
              <w:highlight w:val="none"/>
              <w:lang w:val="en-US" w:eastAsia="zh-CN"/>
            </w:rPr>
            <w:t>要求</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_Toc29612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_Toc14933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lang w:val="en-US" w:eastAsia="zh-CN"/>
            </w:rPr>
            <w:t>三、绿色工厂评价要求</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_Toc14933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_Toc6687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rPr>
            <w:t>（</w:t>
          </w:r>
          <w:r>
            <w:rPr>
              <w:rFonts w:hint="default" w:ascii="Times New Roman" w:hAnsi="Times New Roman" w:eastAsia="楷体" w:cs="Times New Roman"/>
              <w:bCs w:val="0"/>
              <w:color w:val="auto"/>
              <w:sz w:val="24"/>
              <w:szCs w:val="24"/>
              <w:highlight w:val="none"/>
              <w:lang w:val="en-US" w:eastAsia="zh-CN"/>
            </w:rPr>
            <w:t>一</w:t>
          </w:r>
          <w:r>
            <w:rPr>
              <w:rFonts w:hint="default" w:ascii="Times New Roman" w:hAnsi="Times New Roman" w:eastAsia="楷体" w:cs="Times New Roman"/>
              <w:bCs w:val="0"/>
              <w:color w:val="auto"/>
              <w:sz w:val="24"/>
              <w:szCs w:val="24"/>
              <w:highlight w:val="none"/>
            </w:rPr>
            <w:t>）</w:t>
          </w:r>
          <w:r>
            <w:rPr>
              <w:rFonts w:hint="default" w:ascii="Times New Roman" w:hAnsi="Times New Roman" w:eastAsia="楷体" w:cs="Times New Roman"/>
              <w:bCs w:val="0"/>
              <w:color w:val="auto"/>
              <w:sz w:val="24"/>
              <w:szCs w:val="24"/>
              <w:highlight w:val="none"/>
              <w:lang w:val="en-US" w:eastAsia="zh-CN"/>
            </w:rPr>
            <w:t>基本要求</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_Toc6687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_Toc8483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eastAsia="zh-CN"/>
            </w:rPr>
            <w:t>（</w:t>
          </w:r>
          <w:r>
            <w:rPr>
              <w:rFonts w:hint="default" w:ascii="Times New Roman" w:hAnsi="Times New Roman" w:eastAsia="楷体" w:cs="Times New Roman"/>
              <w:bCs w:val="0"/>
              <w:color w:val="auto"/>
              <w:sz w:val="24"/>
              <w:szCs w:val="24"/>
              <w:highlight w:val="none"/>
              <w:lang w:val="en-US" w:eastAsia="zh-CN"/>
            </w:rPr>
            <w:t>二</w:t>
          </w:r>
          <w:r>
            <w:rPr>
              <w:rFonts w:hint="default" w:ascii="Times New Roman" w:hAnsi="Times New Roman" w:eastAsia="楷体" w:cs="Times New Roman"/>
              <w:bCs w:val="0"/>
              <w:color w:val="auto"/>
              <w:sz w:val="24"/>
              <w:szCs w:val="24"/>
              <w:highlight w:val="none"/>
              <w:lang w:eastAsia="zh-CN"/>
            </w:rPr>
            <w:t>）</w:t>
          </w:r>
          <w:r>
            <w:rPr>
              <w:rFonts w:hint="default" w:ascii="Times New Roman" w:hAnsi="Times New Roman" w:eastAsia="楷体" w:cs="Times New Roman"/>
              <w:bCs w:val="0"/>
              <w:color w:val="auto"/>
              <w:sz w:val="24"/>
              <w:szCs w:val="24"/>
              <w:highlight w:val="none"/>
              <w:lang w:val="en-US" w:eastAsia="zh-CN"/>
            </w:rPr>
            <w:t>评价说明</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8</w:t>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_Toc5088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eastAsia="zh-CN"/>
            </w:rPr>
            <w:t>（</w:t>
          </w:r>
          <w:r>
            <w:rPr>
              <w:rFonts w:hint="default" w:ascii="Times New Roman" w:hAnsi="Times New Roman" w:eastAsia="楷体" w:cs="Times New Roman"/>
              <w:bCs w:val="0"/>
              <w:color w:val="auto"/>
              <w:sz w:val="24"/>
              <w:szCs w:val="24"/>
              <w:highlight w:val="none"/>
              <w:lang w:val="en-US" w:eastAsia="zh-CN"/>
            </w:rPr>
            <w:t>三</w:t>
          </w:r>
          <w:r>
            <w:rPr>
              <w:rFonts w:hint="default" w:ascii="Times New Roman" w:hAnsi="Times New Roman" w:eastAsia="楷体" w:cs="Times New Roman"/>
              <w:bCs w:val="0"/>
              <w:color w:val="auto"/>
              <w:sz w:val="24"/>
              <w:szCs w:val="24"/>
              <w:highlight w:val="none"/>
              <w:lang w:eastAsia="zh-CN"/>
            </w:rPr>
            <w:t>）评价依据</w:t>
          </w:r>
          <w:r>
            <w:rPr>
              <w:rFonts w:hint="default" w:ascii="Times New Roman" w:hAnsi="Times New Roman" w:cs="Times New Roman"/>
              <w:color w:val="auto"/>
              <w:sz w:val="24"/>
              <w:szCs w:val="24"/>
              <w:highlight w:val="none"/>
            </w:rPr>
            <w:tab/>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PAGEREF _Toc5088 \h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w:t>
          </w:r>
          <w:r>
            <w:rPr>
              <w:rFonts w:hint="default" w:ascii="Times New Roman" w:hAnsi="Times New Roman" w:cs="Times New Roman"/>
              <w:color w:val="auto"/>
              <w:sz w:val="24"/>
              <w:szCs w:val="24"/>
              <w:highlight w:val="none"/>
            </w:rPr>
            <w:fldChar w:fldCharType="end"/>
          </w:r>
          <w:r>
            <w:rPr>
              <w:rFonts w:hint="default" w:ascii="Times New Roman" w:hAnsi="Times New Roman" w:eastAsia="黑体" w:cs="Times New Roman"/>
              <w:color w:val="auto"/>
              <w:sz w:val="24"/>
              <w:szCs w:val="24"/>
              <w:highlight w:val="none"/>
            </w:rPr>
            <w:fldChar w:fldCharType="end"/>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_Toc29564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eastAsia="zh-CN"/>
            </w:rPr>
            <w:t>（</w:t>
          </w:r>
          <w:r>
            <w:rPr>
              <w:rFonts w:hint="default" w:ascii="Times New Roman" w:hAnsi="Times New Roman" w:eastAsia="楷体" w:cs="Times New Roman"/>
              <w:bCs w:val="0"/>
              <w:color w:val="auto"/>
              <w:sz w:val="24"/>
              <w:szCs w:val="24"/>
              <w:highlight w:val="none"/>
              <w:lang w:val="en-US" w:eastAsia="zh-CN"/>
            </w:rPr>
            <w:t>四</w:t>
          </w:r>
          <w:r>
            <w:rPr>
              <w:rFonts w:hint="default" w:ascii="Times New Roman" w:hAnsi="Times New Roman" w:eastAsia="楷体" w:cs="Times New Roman"/>
              <w:bCs w:val="0"/>
              <w:color w:val="auto"/>
              <w:sz w:val="24"/>
              <w:szCs w:val="24"/>
              <w:highlight w:val="none"/>
              <w:lang w:eastAsia="zh-CN"/>
            </w:rPr>
            <w:t>）评价指标</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5</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_Toc32675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lang w:val="en-US" w:eastAsia="zh-CN"/>
            </w:rPr>
            <w:t>四、绿色工业园区评价要求</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1</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_Toc8942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eastAsia="zh-CN"/>
            </w:rPr>
            <w:t>（一）基本要求</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1</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_Toc18362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val="en-US" w:eastAsia="zh-CN"/>
            </w:rPr>
            <w:t>（二）评价说明</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1</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_Toc15229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val="en-US" w:eastAsia="zh-CN"/>
            </w:rPr>
            <w:t>（三）评价依据</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1</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_Toc20271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val="en-US" w:eastAsia="zh-CN"/>
            </w:rPr>
            <w:t>（四）评价指标</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2</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_Toc18132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lang w:val="en-US" w:eastAsia="zh-CN"/>
            </w:rPr>
            <w:t>五、绿色供应链管理评价要求</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9</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_Toc2211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val="en-US" w:eastAsia="zh-CN"/>
            </w:rPr>
            <w:t>（一）基本要求</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9</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_Toc17967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val="en-US" w:eastAsia="zh-CN"/>
            </w:rPr>
            <w:t>（二）评价说明</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9</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_Toc19731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val="en-US" w:eastAsia="zh-CN"/>
            </w:rPr>
            <w:t>（三）评价依据</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9</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_Toc24697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楷体" w:cs="Times New Roman"/>
              <w:bCs w:val="0"/>
              <w:color w:val="auto"/>
              <w:sz w:val="24"/>
              <w:szCs w:val="24"/>
              <w:highlight w:val="none"/>
              <w:lang w:val="en-US" w:eastAsia="zh-CN"/>
            </w:rPr>
            <w:t>（四）评价指标</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4</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3</w:t>
          </w:r>
        </w:p>
        <w:p>
          <w:pPr>
            <w:pStyle w:val="212"/>
            <w:tabs>
              <w:tab w:val="right" w:leader="dot" w:pos="8306"/>
            </w:tabs>
            <w:rPr>
              <w:rFonts w:hint="eastAsia"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_Toc23737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lang w:val="en-US" w:eastAsia="zh-CN"/>
            </w:rPr>
            <w:t>附件1绿色工厂评价报告格式</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4</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6</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_Toc23484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lang w:val="en-US" w:eastAsia="zh-CN"/>
            </w:rPr>
            <w:t>附件2 绿色工业园区评价报告格式</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6</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9</w:t>
          </w:r>
        </w:p>
        <w:p>
          <w:pPr>
            <w:pStyle w:val="212"/>
            <w:tabs>
              <w:tab w:val="right" w:leader="dot" w:pos="8306"/>
            </w:tabs>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fldChar w:fldCharType="begin"/>
          </w:r>
          <w:r>
            <w:rPr>
              <w:rFonts w:hint="default" w:ascii="Times New Roman" w:hAnsi="Times New Roman" w:eastAsia="黑体" w:cs="Times New Roman"/>
              <w:color w:val="auto"/>
              <w:sz w:val="24"/>
              <w:szCs w:val="24"/>
              <w:highlight w:val="none"/>
            </w:rPr>
            <w:instrText xml:space="preserve"> HYPERLINK \l _Toc7158 </w:instrText>
          </w:r>
          <w:r>
            <w:rPr>
              <w:rFonts w:hint="default" w:ascii="Times New Roman" w:hAnsi="Times New Roman" w:eastAsia="黑体" w:cs="Times New Roman"/>
              <w:color w:val="auto"/>
              <w:sz w:val="24"/>
              <w:szCs w:val="24"/>
              <w:highlight w:val="none"/>
            </w:rPr>
            <w:fldChar w:fldCharType="separate"/>
          </w:r>
          <w:r>
            <w:rPr>
              <w:rFonts w:hint="default" w:ascii="Times New Roman" w:hAnsi="Times New Roman" w:eastAsia="黑体" w:cs="Times New Roman"/>
              <w:bCs w:val="0"/>
              <w:color w:val="auto"/>
              <w:sz w:val="24"/>
              <w:szCs w:val="24"/>
              <w:highlight w:val="none"/>
              <w:lang w:val="en-US" w:eastAsia="zh-CN"/>
            </w:rPr>
            <w:t>附件3 绿色供应链管理企业评价报告格式</w:t>
          </w:r>
          <w:r>
            <w:rPr>
              <w:rFonts w:hint="default" w:ascii="Times New Roman" w:hAnsi="Times New Roman" w:cs="Times New Roman"/>
              <w:color w:val="auto"/>
              <w:sz w:val="24"/>
              <w:szCs w:val="24"/>
              <w:highlight w:val="none"/>
            </w:rPr>
            <w:tab/>
          </w:r>
          <w:r>
            <w:rPr>
              <w:rFonts w:hint="eastAsia" w:cs="Times New Roman"/>
              <w:color w:val="auto"/>
              <w:sz w:val="24"/>
              <w:szCs w:val="24"/>
              <w:highlight w:val="none"/>
              <w:lang w:val="en-US" w:eastAsia="zh-CN"/>
            </w:rPr>
            <w:t>8</w:t>
          </w:r>
          <w:r>
            <w:rPr>
              <w:rFonts w:hint="default" w:ascii="Times New Roman" w:hAnsi="Times New Roman" w:eastAsia="黑体" w:cs="Times New Roman"/>
              <w:color w:val="auto"/>
              <w:sz w:val="24"/>
              <w:szCs w:val="24"/>
              <w:highlight w:val="none"/>
            </w:rPr>
            <w:fldChar w:fldCharType="end"/>
          </w:r>
          <w:r>
            <w:rPr>
              <w:rFonts w:hint="eastAsia" w:eastAsia="黑体" w:cs="Times New Roman"/>
              <w:color w:val="auto"/>
              <w:sz w:val="24"/>
              <w:szCs w:val="24"/>
              <w:highlight w:val="none"/>
              <w:lang w:val="en-US" w:eastAsia="zh-CN"/>
            </w:rPr>
            <w:t>1</w:t>
          </w:r>
        </w:p>
        <w:p>
          <w:pPr>
            <w:pStyle w:val="47"/>
            <w:ind w:left="0" w:leftChars="0" w:firstLine="0" w:firstLineChars="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Cs w:val="32"/>
              <w:highlight w:val="none"/>
            </w:rPr>
            <w:fldChar w:fldCharType="end"/>
          </w:r>
        </w:p>
      </w:sdtContent>
    </w:sdt>
    <w:p>
      <w:pPr>
        <w:pStyle w:val="47"/>
        <w:rPr>
          <w:rFonts w:hint="default" w:ascii="Times New Roman" w:hAnsi="Times New Roman" w:eastAsia="黑体" w:cs="Times New Roman"/>
          <w:color w:val="auto"/>
          <w:sz w:val="32"/>
          <w:szCs w:val="32"/>
          <w:highlight w:val="none"/>
        </w:rPr>
      </w:pPr>
    </w:p>
    <w:p>
      <w:pPr>
        <w:pStyle w:val="47"/>
        <w:rPr>
          <w:rFonts w:hint="default" w:ascii="Times New Roman" w:hAnsi="Times New Roman" w:eastAsia="黑体" w:cs="Times New Roman"/>
          <w:color w:val="auto"/>
          <w:sz w:val="32"/>
          <w:szCs w:val="32"/>
          <w:highlight w:val="none"/>
        </w:rPr>
      </w:pPr>
      <w:bookmarkStart w:id="60" w:name="_GoBack"/>
      <w:bookmarkEnd w:id="60"/>
    </w:p>
    <w:p>
      <w:pPr>
        <w:pStyle w:val="47"/>
        <w:rPr>
          <w:rFonts w:hint="default" w:ascii="Times New Roman" w:hAnsi="Times New Roman" w:eastAsia="黑体" w:cs="Times New Roman"/>
          <w:color w:val="auto"/>
          <w:sz w:val="32"/>
          <w:szCs w:val="32"/>
          <w:highlight w:val="none"/>
        </w:rPr>
      </w:pPr>
    </w:p>
    <w:p>
      <w:pPr>
        <w:pStyle w:val="47"/>
        <w:ind w:left="0" w:leftChars="0" w:firstLine="0" w:firstLineChars="0"/>
        <w:rPr>
          <w:rFonts w:hint="default" w:ascii="Times New Roman" w:hAnsi="Times New Roman" w:eastAsia="黑体" w:cs="Times New Roman"/>
          <w:color w:val="auto"/>
          <w:sz w:val="32"/>
          <w:szCs w:val="32"/>
          <w:highlight w:val="none"/>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bidi w:val="0"/>
        <w:jc w:val="center"/>
        <w:rPr>
          <w:rFonts w:hint="default" w:ascii="Times New Roman" w:hAnsi="Times New Roman" w:cs="Times New Roman"/>
          <w:color w:val="auto"/>
          <w:highlight w:val="none"/>
        </w:rPr>
      </w:pPr>
      <w:bookmarkStart w:id="0" w:name="_Toc21153"/>
      <w:r>
        <w:rPr>
          <w:rFonts w:hint="default" w:ascii="Times New Roman" w:hAnsi="Times New Roman" w:eastAsia="黑体" w:cs="Times New Roman"/>
          <w:b w:val="0"/>
          <w:bCs w:val="0"/>
          <w:color w:val="auto"/>
          <w:highlight w:val="none"/>
        </w:rPr>
        <w:t>前</w:t>
      </w:r>
      <w:r>
        <w:rPr>
          <w:rFonts w:hint="default" w:ascii="Times New Roman" w:hAnsi="Times New Roman" w:eastAsia="黑体" w:cs="Times New Roman"/>
          <w:b w:val="0"/>
          <w:bCs w:val="0"/>
          <w:color w:val="auto"/>
          <w:highlight w:val="none"/>
          <w:lang w:val="en-US" w:eastAsia="zh-CN"/>
        </w:rPr>
        <w:t xml:space="preserve"> </w:t>
      </w:r>
      <w:r>
        <w:rPr>
          <w:rFonts w:hint="default" w:ascii="Times New Roman" w:hAnsi="Times New Roman" w:eastAsia="黑体" w:cs="Times New Roman"/>
          <w:b w:val="0"/>
          <w:bCs w:val="0"/>
          <w:color w:val="auto"/>
          <w:highlight w:val="none"/>
        </w:rPr>
        <w:t>言</w:t>
      </w:r>
      <w:bookmarkEnd w:id="0"/>
    </w:p>
    <w:p>
      <w:pPr>
        <w:autoSpaceDE w:val="0"/>
        <w:autoSpaceDN w:val="0"/>
        <w:adjustRightInd w:val="0"/>
        <w:ind w:firstLine="640" w:firstLineChars="200"/>
        <w:jc w:val="left"/>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绿色制造</w:t>
      </w:r>
      <w:r>
        <w:rPr>
          <w:rFonts w:hint="default" w:ascii="Times New Roman" w:hAnsi="Times New Roman" w:eastAsia="仿宋_GB2312" w:cs="Times New Roman"/>
          <w:color w:val="auto"/>
          <w:sz w:val="32"/>
          <w:szCs w:val="32"/>
          <w:highlight w:val="none"/>
          <w:lang w:val="en-US" w:eastAsia="zh-CN"/>
        </w:rPr>
        <w:t>是</w:t>
      </w:r>
      <w:r>
        <w:rPr>
          <w:rFonts w:hint="default" w:ascii="Times New Roman" w:hAnsi="Times New Roman" w:eastAsia="仿宋_GB2312" w:cs="Times New Roman"/>
          <w:color w:val="auto"/>
          <w:sz w:val="32"/>
          <w:szCs w:val="32"/>
          <w:highlight w:val="none"/>
        </w:rPr>
        <w:t>现代制造业的可持续发展模式，其目标是使得产品在其整个生命周期中，资源消耗极少</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生态环境负面影响极小、人体健康与安全危害极小，并最终实现企业经济效益和社会效益的持续协调优化</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积极推行绿色制造，加快制造业绿色改造升级，</w:t>
      </w:r>
      <w:r>
        <w:rPr>
          <w:rFonts w:hint="default" w:ascii="Times New Roman" w:hAnsi="Times New Roman" w:eastAsia="仿宋_GB2312" w:cs="Times New Roman"/>
          <w:color w:val="auto"/>
          <w:sz w:val="32"/>
          <w:szCs w:val="32"/>
          <w:highlight w:val="none"/>
        </w:rPr>
        <w:t>建立高效、清洁、低碳、循环的绿色制造体系，把绿色制造体系打造成为制造业绿色转型升级的示范标杆</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是解决国家资源和环境问题的重要手段，是实现产业转型升级的重要任务，是行业实现绿色发展的有效途径，同时也是企业主动承担社会责任的必然选择。</w:t>
      </w:r>
    </w:p>
    <w:p>
      <w:pPr>
        <w:numPr>
          <w:ilvl w:val="0"/>
          <w:numId w:val="0"/>
        </w:numPr>
        <w:spacing w:line="62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“十三五”以来，我省大力推动绿色制造体系建设，积极培育绿色制造示范。截至目前，我省累计培育创建了国家级、省级绿色工厂</w:t>
      </w:r>
      <w:r>
        <w:rPr>
          <w:rFonts w:hint="eastAsia" w:ascii="Times New Roman" w:hAnsi="Times New Roman" w:eastAsia="仿宋_GB2312" w:cs="Times New Roman"/>
          <w:color w:val="auto"/>
          <w:sz w:val="32"/>
          <w:szCs w:val="32"/>
          <w:highlight w:val="none"/>
          <w:lang w:val="en-US" w:eastAsia="zh-CN"/>
        </w:rPr>
        <w:t>228</w:t>
      </w:r>
      <w:r>
        <w:rPr>
          <w:rFonts w:hint="default" w:ascii="Times New Roman" w:hAnsi="Times New Roman" w:eastAsia="仿宋_GB2312" w:cs="Times New Roman"/>
          <w:color w:val="auto"/>
          <w:sz w:val="32"/>
          <w:szCs w:val="32"/>
          <w:highlight w:val="none"/>
          <w:lang w:val="en-US" w:eastAsia="zh-CN"/>
        </w:rPr>
        <w:t>家，绿色供应链管理企业</w:t>
      </w:r>
      <w:r>
        <w:rPr>
          <w:rFonts w:hint="eastAsia"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lang w:val="en-US" w:eastAsia="zh-CN"/>
        </w:rPr>
        <w:t>家，绿色工业园区</w:t>
      </w:r>
      <w:r>
        <w:rPr>
          <w:rFonts w:hint="eastAsia" w:ascii="Times New Roman" w:hAnsi="Times New Roman" w:eastAsia="仿宋_GB2312" w:cs="Times New Roman"/>
          <w:color w:val="auto"/>
          <w:sz w:val="32"/>
          <w:szCs w:val="32"/>
          <w:highlight w:val="none"/>
          <w:lang w:val="en-US" w:eastAsia="zh-CN"/>
        </w:rPr>
        <w:t>33</w:t>
      </w:r>
      <w:r>
        <w:rPr>
          <w:rFonts w:hint="default" w:ascii="Times New Roman" w:hAnsi="Times New Roman" w:eastAsia="仿宋_GB2312" w:cs="Times New Roman"/>
          <w:color w:val="auto"/>
          <w:sz w:val="32"/>
          <w:szCs w:val="32"/>
          <w:highlight w:val="none"/>
          <w:lang w:val="en-US" w:eastAsia="zh-CN"/>
        </w:rPr>
        <w:t>个，绿色设计产品</w:t>
      </w:r>
      <w:r>
        <w:rPr>
          <w:rFonts w:hint="eastAsia" w:ascii="Times New Roman" w:hAnsi="Times New Roman" w:eastAsia="仿宋_GB2312" w:cs="Times New Roman"/>
          <w:color w:val="auto"/>
          <w:sz w:val="32"/>
          <w:szCs w:val="32"/>
          <w:highlight w:val="none"/>
          <w:lang w:val="en-US" w:eastAsia="zh-CN"/>
        </w:rPr>
        <w:t>46</w:t>
      </w:r>
      <w:r>
        <w:rPr>
          <w:rFonts w:hint="default" w:ascii="Times New Roman" w:hAnsi="Times New Roman" w:eastAsia="仿宋_GB2312" w:cs="Times New Roman"/>
          <w:color w:val="auto"/>
          <w:sz w:val="32"/>
          <w:szCs w:val="32"/>
          <w:highlight w:val="none"/>
          <w:lang w:val="en-US" w:eastAsia="zh-CN"/>
        </w:rPr>
        <w:t>种型号。</w:t>
      </w:r>
    </w:p>
    <w:p>
      <w:pPr>
        <w:numPr>
          <w:ilvl w:val="0"/>
          <w:numId w:val="0"/>
        </w:numPr>
        <w:spacing w:line="620" w:lineRule="exact"/>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为贯彻落实《国务院关于支持贵州在新时代西部大开发上闯新路的意见》（国发〔2022〕2号）、《“十四五”工业绿色发展规划》</w:t>
      </w:r>
      <w:r>
        <w:rPr>
          <w:rFonts w:hint="eastAsia" w:ascii="Times New Roman" w:hAnsi="Times New Roman" w:eastAsia="仿宋_GB2312" w:cs="Times New Roman"/>
          <w:color w:val="auto"/>
          <w:sz w:val="32"/>
          <w:szCs w:val="32"/>
          <w:highlight w:val="none"/>
          <w:lang w:val="en-US" w:eastAsia="zh-CN"/>
        </w:rPr>
        <w:t>（工信部规〔2021〕178号）</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val="0"/>
          <w:bCs w:val="0"/>
          <w:color w:val="auto"/>
          <w:spacing w:val="11"/>
          <w:sz w:val="32"/>
          <w:szCs w:val="32"/>
          <w:highlight w:val="none"/>
          <w:lang w:val="en-US" w:eastAsia="zh-CN" w:bidi="ar-SA"/>
        </w:rPr>
        <w:t>《中共贵州省委 贵州省人民政府关于实施工业倍增行动奋力实现工业大突破的意见》（黔党发〔2021〕10号）</w:t>
      </w:r>
      <w:r>
        <w:rPr>
          <w:rFonts w:hint="eastAsia" w:ascii="Times New Roman" w:hAnsi="Times New Roman" w:eastAsia="仿宋_GB2312" w:cs="Times New Roman"/>
          <w:b w:val="0"/>
          <w:bCs w:val="0"/>
          <w:color w:val="auto"/>
          <w:spacing w:val="11"/>
          <w:sz w:val="32"/>
          <w:szCs w:val="32"/>
          <w:highlight w:val="none"/>
          <w:lang w:val="en-US" w:eastAsia="zh-CN" w:bidi="ar-SA"/>
        </w:rPr>
        <w:t>、《贵州省工业领域碳达峰实施方案》（黔工信〔2023〕6号）</w:t>
      </w:r>
      <w:r>
        <w:rPr>
          <w:rFonts w:hint="default" w:ascii="Times New Roman" w:hAnsi="Times New Roman" w:eastAsia="仿宋_GB2312" w:cs="Times New Roman"/>
          <w:color w:val="auto"/>
          <w:sz w:val="32"/>
          <w:szCs w:val="32"/>
          <w:highlight w:val="none"/>
          <w:lang w:val="en-US" w:eastAsia="zh-CN"/>
        </w:rPr>
        <w:t>等文件精神，聚焦高端化、绿色化、集约化，围绕碳达峰碳中和目标，把握“十四五”关键期、窗口期，实施绿色制造专项行动，培育打造一批绿色制造先进典型，发挥绿色低碳标杆的引领带动作用，</w:t>
      </w:r>
      <w:r>
        <w:rPr>
          <w:rFonts w:hint="default" w:ascii="Times New Roman" w:hAnsi="Times New Roman" w:eastAsia="仿宋_GB2312" w:cs="Times New Roman"/>
          <w:color w:val="auto"/>
          <w:sz w:val="32"/>
          <w:szCs w:val="32"/>
          <w:highlight w:val="none"/>
          <w:lang w:val="en-US" w:eastAsia="zh-CN"/>
        </w:rPr>
        <w:t>进一步推进我省绿色制造体系建设，推动新型工业化绿色高质量发展，省工业和信息化厅参照国家有关政策和标准，编制了</w:t>
      </w: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年贵州省绿色制造体系建设评价指南》。我省工业企业和开发区根据本《指南》要求，申报贵州省绿色制造名单。</w:t>
      </w:r>
    </w:p>
    <w:p>
      <w:pPr>
        <w:pStyle w:val="47"/>
        <w:rPr>
          <w:rFonts w:hint="default" w:ascii="Times New Roman" w:hAnsi="Times New Roman" w:eastAsia="仿宋_GB2312" w:cs="Times New Roman"/>
          <w:color w:val="auto"/>
          <w:sz w:val="32"/>
          <w:szCs w:val="32"/>
          <w:highlight w:val="none"/>
          <w:lang w:val="en-US" w:eastAsia="zh-CN"/>
        </w:rPr>
      </w:pPr>
    </w:p>
    <w:p>
      <w:pPr>
        <w:pStyle w:val="47"/>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7"/>
        <w:ind w:left="0" w:leftChars="0" w:firstLine="0" w:firstLineChars="0"/>
        <w:rPr>
          <w:rFonts w:hint="default" w:ascii="Times New Roman" w:hAnsi="Times New Roman" w:eastAsia="仿宋_GB2312" w:cs="Times New Roman"/>
          <w:color w:val="auto"/>
          <w:sz w:val="32"/>
          <w:szCs w:val="32"/>
          <w:highlight w:val="none"/>
          <w:lang w:val="en-US" w:eastAsia="zh-CN"/>
        </w:rPr>
      </w:pPr>
    </w:p>
    <w:p>
      <w:pPr>
        <w:pStyle w:val="4"/>
        <w:bidi w:val="0"/>
        <w:ind w:firstLine="640" w:firstLineChars="200"/>
        <w:outlineLvl w:val="0"/>
        <w:rPr>
          <w:rFonts w:hint="default" w:ascii="Times New Roman" w:hAnsi="Times New Roman" w:eastAsia="黑体" w:cs="Times New Roman"/>
          <w:b w:val="0"/>
          <w:bCs w:val="0"/>
          <w:color w:val="auto"/>
          <w:highlight w:val="none"/>
        </w:rPr>
      </w:pPr>
      <w:bookmarkStart w:id="1" w:name="_Toc12877"/>
      <w:bookmarkStart w:id="2" w:name="_Toc15724"/>
      <w:r>
        <w:rPr>
          <w:rFonts w:hint="default" w:ascii="Times New Roman" w:hAnsi="Times New Roman" w:eastAsia="黑体" w:cs="Times New Roman"/>
          <w:b w:val="0"/>
          <w:bCs w:val="0"/>
          <w:color w:val="auto"/>
          <w:highlight w:val="none"/>
        </w:rPr>
        <w:t>一、建设内容</w:t>
      </w:r>
      <w:bookmarkEnd w:id="1"/>
      <w:bookmarkEnd w:id="2"/>
    </w:p>
    <w:p>
      <w:pPr>
        <w:autoSpaceDE w:val="0"/>
        <w:autoSpaceDN w:val="0"/>
        <w:adjustRightInd w:val="0"/>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绿色制造标准体系分为综合基础、绿色</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设计</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产品、绿色工厂、绿色企业、绿色</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工业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园区、绿色供应链和绿色评价与服务七个子体系</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详见工业和信息化部 国家标准化管理委员会印发的《绿色制造标准体系建设指南》，工信部联节〔2016〕304号</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其中绿色工厂、绿色</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工业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园区、绿色</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设计</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产品、绿色供应链</w:t>
      </w:r>
      <w:r>
        <w:rPr>
          <w:rFonts w:hint="default" w:ascii="Times New Roman" w:hAnsi="Times New Roman" w:eastAsia="仿宋_GB2312" w:cs="Times New Roman"/>
          <w:color w:val="auto"/>
          <w:sz w:val="32"/>
          <w:szCs w:val="32"/>
          <w:highlight w:val="none"/>
          <w:lang w:val="en-US" w:eastAsia="zh-CN"/>
        </w:rPr>
        <w:t>是</w:t>
      </w:r>
      <w:r>
        <w:rPr>
          <w:rFonts w:hint="default" w:ascii="Times New Roman" w:hAnsi="Times New Roman" w:eastAsia="仿宋_GB2312" w:cs="Times New Roman"/>
          <w:color w:val="auto"/>
          <w:sz w:val="32"/>
          <w:szCs w:val="32"/>
          <w:highlight w:val="none"/>
        </w:rPr>
        <w:t>主要内容。</w:t>
      </w:r>
    </w:p>
    <w:p>
      <w:pPr>
        <w:autoSpaceDE w:val="0"/>
        <w:autoSpaceDN w:val="0"/>
        <w:adjustRightInd w:val="0"/>
        <w:jc w:val="center"/>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drawing>
          <wp:inline distT="0" distB="0" distL="114300" distR="114300">
            <wp:extent cx="5264150" cy="3399790"/>
            <wp:effectExtent l="0" t="0" r="12700" b="10160"/>
            <wp:docPr id="9" name="图片 9" descr="绿色制造标准体系建设指南 (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绿色制造标准体系建设指南 (2)_06"/>
                    <pic:cNvPicPr>
                      <a:picLocks noChangeAspect="1"/>
                    </pic:cNvPicPr>
                  </pic:nvPicPr>
                  <pic:blipFill>
                    <a:blip r:embed="rId12"/>
                    <a:stretch>
                      <a:fillRect/>
                    </a:stretch>
                  </pic:blipFill>
                  <pic:spPr>
                    <a:xfrm>
                      <a:off x="0" y="0"/>
                      <a:ext cx="5264150" cy="3399790"/>
                    </a:xfrm>
                    <a:prstGeom prst="rect">
                      <a:avLst/>
                    </a:prstGeom>
                  </pic:spPr>
                </pic:pic>
              </a:graphicData>
            </a:graphic>
          </wp:inline>
        </w:drawing>
      </w:r>
    </w:p>
    <w:p>
      <w:pPr>
        <w:pStyle w:val="8"/>
        <w:bidi w:val="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图 1 绿色制造标准体系构建模型</w:t>
      </w:r>
    </w:p>
    <w:p>
      <w:pPr>
        <w:autoSpaceDE w:val="0"/>
        <w:autoSpaceDN w:val="0"/>
        <w:adjustRightInd w:val="0"/>
        <w:ind w:firstLine="640" w:firstLineChars="200"/>
        <w:jc w:val="left"/>
        <w:rPr>
          <w:rFonts w:hint="default" w:ascii="Times New Roman" w:hAnsi="Times New Roman" w:eastAsia="仿宋_GB2312" w:cs="Times New Roman"/>
          <w:color w:val="auto"/>
          <w:sz w:val="32"/>
          <w:szCs w:val="32"/>
          <w:highlight w:val="none"/>
          <w:lang w:val="en-US" w:eastAsia="zh-CN"/>
        </w:rPr>
      </w:pPr>
      <w:bookmarkStart w:id="3" w:name="_Toc28921"/>
      <w:bookmarkStart w:id="4" w:name="_Toc19407"/>
      <w:r>
        <w:rPr>
          <w:rFonts w:hint="default" w:ascii="Times New Roman" w:hAnsi="Times New Roman" w:eastAsia="仿宋_GB2312" w:cs="Times New Roman"/>
          <w:color w:val="auto"/>
          <w:sz w:val="32"/>
          <w:szCs w:val="32"/>
          <w:highlight w:val="none"/>
          <w:lang w:val="en-US" w:eastAsia="zh-CN"/>
        </w:rPr>
        <w:t>各子体系相辅相成，构建了绿色制造标准体系。其中， 绿色产品是绿色工厂的生产结果，绿色工厂是绿色企业的制 造单元，绿色工厂和绿色企业是绿色园区的组成部分，绿色 供应链是贯穿产品、工厂、企业、园区的重要链条，综合基 础以及绿色评价与服务为前五大绿色主题提供支撑与服务。</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rPr>
      </w:pPr>
      <w:r>
        <w:rPr>
          <w:rFonts w:hint="default" w:ascii="Times New Roman" w:hAnsi="Times New Roman" w:eastAsia="楷体" w:cs="Times New Roman"/>
          <w:b w:val="0"/>
          <w:bCs w:val="0"/>
          <w:color w:val="auto"/>
          <w:sz w:val="32"/>
          <w:szCs w:val="36"/>
          <w:highlight w:val="none"/>
        </w:rPr>
        <w:t>（一）绿色工厂</w:t>
      </w:r>
      <w:bookmarkEnd w:id="3"/>
      <w:bookmarkEnd w:id="4"/>
    </w:p>
    <w:p>
      <w:pPr>
        <w:autoSpaceDE w:val="0"/>
        <w:autoSpaceDN w:val="0"/>
        <w:adjustRightInd w:val="0"/>
        <w:ind w:firstLine="640" w:firstLineChars="200"/>
        <w:jc w:val="left"/>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绿色工厂是指实现了用地集约化、原料无害化、生产洁净化、废物资源化、能源低碳化的工厂。</w:t>
      </w:r>
    </w:p>
    <w:p>
      <w:pPr>
        <w:autoSpaceDE w:val="0"/>
        <w:autoSpaceDN w:val="0"/>
        <w:adjustRightInd w:val="0"/>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绿色工厂是制造业的生产单元，是绿色制造的实施主体，属于绿色制造体系的核心支撑单元，侧重于生产过程的绿色化。</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rPr>
      </w:pPr>
      <w:bookmarkStart w:id="5" w:name="_Toc23108"/>
      <w:bookmarkStart w:id="6" w:name="_Toc14055"/>
      <w:r>
        <w:rPr>
          <w:rFonts w:hint="default" w:ascii="Times New Roman" w:hAnsi="Times New Roman" w:eastAsia="楷体" w:cs="Times New Roman"/>
          <w:b w:val="0"/>
          <w:bCs w:val="0"/>
          <w:color w:val="auto"/>
          <w:sz w:val="32"/>
          <w:szCs w:val="36"/>
          <w:highlight w:val="none"/>
        </w:rPr>
        <w:t>（二）绿色</w:t>
      </w:r>
      <w:r>
        <w:rPr>
          <w:rFonts w:hint="default" w:ascii="Times New Roman" w:hAnsi="Times New Roman" w:eastAsia="楷体" w:cs="Times New Roman"/>
          <w:b w:val="0"/>
          <w:bCs w:val="0"/>
          <w:color w:val="auto"/>
          <w:sz w:val="32"/>
          <w:szCs w:val="36"/>
          <w:highlight w:val="none"/>
          <w:lang w:val="en-US" w:eastAsia="zh-CN"/>
        </w:rPr>
        <w:t>工业</w:t>
      </w:r>
      <w:r>
        <w:rPr>
          <w:rFonts w:hint="default" w:ascii="Times New Roman" w:hAnsi="Times New Roman" w:eastAsia="楷体" w:cs="Times New Roman"/>
          <w:b w:val="0"/>
          <w:bCs w:val="0"/>
          <w:color w:val="auto"/>
          <w:sz w:val="32"/>
          <w:szCs w:val="36"/>
          <w:highlight w:val="none"/>
        </w:rPr>
        <w:t>园区</w:t>
      </w:r>
      <w:bookmarkEnd w:id="5"/>
      <w:bookmarkEnd w:id="6"/>
    </w:p>
    <w:p>
      <w:pPr>
        <w:spacing w:line="360" w:lineRule="auto"/>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绿色</w:t>
      </w:r>
      <w:r>
        <w:rPr>
          <w:rFonts w:hint="default" w:ascii="Times New Roman" w:hAnsi="Times New Roman" w:eastAsia="仿宋_GB2312" w:cs="Times New Roman"/>
          <w:color w:val="auto"/>
          <w:sz w:val="32"/>
          <w:szCs w:val="32"/>
          <w:highlight w:val="none"/>
          <w:lang w:val="en-US" w:eastAsia="zh-CN"/>
        </w:rPr>
        <w:t>工业</w:t>
      </w:r>
      <w:r>
        <w:rPr>
          <w:rFonts w:hint="default" w:ascii="Times New Roman" w:hAnsi="Times New Roman" w:eastAsia="仿宋_GB2312" w:cs="Times New Roman"/>
          <w:color w:val="auto"/>
          <w:sz w:val="32"/>
          <w:szCs w:val="32"/>
          <w:highlight w:val="none"/>
        </w:rPr>
        <w:t>园区是突出绿色理念和要求的生产企业和基础设施集聚的平台，侧重于园区内工厂之间的统筹管理和协同链接。</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rPr>
      </w:pPr>
      <w:bookmarkStart w:id="7" w:name="_Toc27448"/>
      <w:bookmarkStart w:id="8" w:name="_Toc21824"/>
      <w:r>
        <w:rPr>
          <w:rFonts w:hint="default" w:ascii="Times New Roman" w:hAnsi="Times New Roman" w:eastAsia="楷体" w:cs="Times New Roman"/>
          <w:b w:val="0"/>
          <w:bCs w:val="0"/>
          <w:color w:val="auto"/>
          <w:sz w:val="32"/>
          <w:szCs w:val="36"/>
          <w:highlight w:val="none"/>
        </w:rPr>
        <w:t>（三）绿色设计产品</w:t>
      </w:r>
      <w:bookmarkEnd w:id="7"/>
      <w:bookmarkEnd w:id="8"/>
    </w:p>
    <w:p>
      <w:pPr>
        <w:spacing w:line="360" w:lineRule="auto"/>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绿色设计产品是</w:t>
      </w:r>
      <w:r>
        <w:rPr>
          <w:rFonts w:hint="default" w:ascii="Times New Roman" w:hAnsi="Times New Roman" w:eastAsia="仿宋_GB2312" w:cs="Times New Roman"/>
          <w:color w:val="auto"/>
          <w:sz w:val="32"/>
          <w:szCs w:val="32"/>
          <w:highlight w:val="none"/>
          <w:lang w:val="en-US" w:eastAsia="zh-CN"/>
        </w:rPr>
        <w:t>指在全生命周期过程中，符合环境保护要求，对生态环境和人体健康无害或危害小，资源能源消耗少、品质高的产品。</w:t>
      </w:r>
    </w:p>
    <w:p>
      <w:pPr>
        <w:spacing w:line="360" w:lineRule="auto"/>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绿色</w:t>
      </w:r>
      <w:r>
        <w:rPr>
          <w:rFonts w:hint="default" w:ascii="Times New Roman" w:hAnsi="Times New Roman" w:eastAsia="仿宋_GB2312" w:cs="Times New Roman"/>
          <w:color w:val="auto"/>
          <w:sz w:val="32"/>
          <w:szCs w:val="32"/>
          <w:highlight w:val="none"/>
          <w:lang w:val="en-US" w:eastAsia="zh-CN"/>
        </w:rPr>
        <w:t>设计</w:t>
      </w:r>
      <w:r>
        <w:rPr>
          <w:rFonts w:hint="default" w:ascii="Times New Roman" w:hAnsi="Times New Roman" w:eastAsia="仿宋_GB2312" w:cs="Times New Roman"/>
          <w:color w:val="auto"/>
          <w:sz w:val="32"/>
          <w:szCs w:val="32"/>
          <w:highlight w:val="none"/>
        </w:rPr>
        <w:t>产品是以绿色制造实现供给侧结构性改革的最终体现，侧重于产品全生命周期的绿色化。</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rPr>
      </w:pPr>
      <w:bookmarkStart w:id="9" w:name="_Toc22567"/>
      <w:bookmarkStart w:id="10" w:name="_Toc14245"/>
      <w:r>
        <w:rPr>
          <w:rFonts w:hint="default" w:ascii="Times New Roman" w:hAnsi="Times New Roman" w:eastAsia="楷体" w:cs="Times New Roman"/>
          <w:b w:val="0"/>
          <w:bCs w:val="0"/>
          <w:color w:val="auto"/>
          <w:sz w:val="32"/>
          <w:szCs w:val="36"/>
          <w:highlight w:val="none"/>
        </w:rPr>
        <w:t>（四）绿色供应链</w:t>
      </w:r>
      <w:bookmarkEnd w:id="9"/>
      <w:bookmarkEnd w:id="10"/>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绿色供应链是将环境保护和资源节约的理念贯穿于企业从产品设计到原材料采购、生产、运输、储存、销售、使用和报废处理的全过程，使企业的经济活动与环境保护相协调的上下游供应关系</w:t>
      </w:r>
      <w:r>
        <w:rPr>
          <w:rFonts w:hint="default" w:ascii="Times New Roman" w:hAnsi="Times New Roman" w:eastAsia="仿宋_GB2312" w:cs="Times New Roman"/>
          <w:color w:val="auto"/>
          <w:kern w:val="0"/>
          <w:sz w:val="32"/>
          <w:szCs w:val="32"/>
          <w:highlight w:val="none"/>
          <w:lang w:eastAsia="zh-CN"/>
        </w:rPr>
        <w:t>。</w:t>
      </w:r>
    </w:p>
    <w:p>
      <w:pPr>
        <w:autoSpaceDE w:val="0"/>
        <w:autoSpaceDN w:val="0"/>
        <w:adjustRightInd w:val="0"/>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rPr>
        <w:t>绿色供应链</w:t>
      </w:r>
      <w:r>
        <w:rPr>
          <w:rFonts w:hint="default" w:ascii="Times New Roman" w:hAnsi="Times New Roman" w:eastAsia="仿宋_GB2312" w:cs="Times New Roman"/>
          <w:color w:val="auto"/>
          <w:sz w:val="32"/>
          <w:szCs w:val="32"/>
          <w:highlight w:val="none"/>
        </w:rPr>
        <w:t>是绿色制造理论与供应链管理技术结合的产物，侧重于供应链节点上企业的协调与协作。</w:t>
      </w:r>
      <w:r>
        <w:rPr>
          <w:rFonts w:hint="default" w:ascii="Times New Roman" w:hAnsi="Times New Roman" w:eastAsia="仿宋_GB2312" w:cs="Times New Roman"/>
          <w:color w:val="auto"/>
          <w:kern w:val="0"/>
          <w:sz w:val="32"/>
          <w:szCs w:val="32"/>
          <w:highlight w:val="none"/>
        </w:rPr>
        <w:t>推行绿色供应链管理的目的是发挥供应链上核心企业的主体作用，一方面做好自身的节能减排和环境保护工作，不断扩大对社会的有效供给，另一方面引领带动供应链上下游企业持续提高资源能源利用效率，改善环境绩效，实现绿色发展。</w:t>
      </w:r>
    </w:p>
    <w:p>
      <w:pPr>
        <w:pStyle w:val="4"/>
        <w:bidi w:val="0"/>
        <w:ind w:firstLine="640" w:firstLineChars="200"/>
        <w:outlineLvl w:val="0"/>
        <w:rPr>
          <w:rFonts w:hint="default" w:ascii="Times New Roman" w:hAnsi="Times New Roman" w:eastAsia="黑体" w:cs="Times New Roman"/>
          <w:b w:val="0"/>
          <w:bCs w:val="0"/>
          <w:color w:val="auto"/>
          <w:highlight w:val="none"/>
          <w:lang w:eastAsia="zh-CN"/>
        </w:rPr>
      </w:pPr>
      <w:bookmarkStart w:id="11" w:name="_Toc29612"/>
      <w:bookmarkStart w:id="12" w:name="_Toc28315"/>
      <w:r>
        <w:rPr>
          <w:rFonts w:hint="default" w:ascii="Times New Roman" w:hAnsi="Times New Roman" w:eastAsia="黑体" w:cs="Times New Roman"/>
          <w:b w:val="0"/>
          <w:bCs w:val="0"/>
          <w:color w:val="auto"/>
          <w:highlight w:val="none"/>
          <w:lang w:val="en-US" w:eastAsia="zh-CN"/>
        </w:rPr>
        <w:t>二</w:t>
      </w:r>
      <w:r>
        <w:rPr>
          <w:rFonts w:hint="default" w:ascii="Times New Roman" w:hAnsi="Times New Roman" w:eastAsia="黑体" w:cs="Times New Roman"/>
          <w:b w:val="0"/>
          <w:bCs w:val="0"/>
          <w:color w:val="auto"/>
          <w:highlight w:val="none"/>
        </w:rPr>
        <w:t>、工作</w:t>
      </w:r>
      <w:r>
        <w:rPr>
          <w:rFonts w:hint="default" w:ascii="Times New Roman" w:hAnsi="Times New Roman" w:eastAsia="黑体" w:cs="Times New Roman"/>
          <w:b w:val="0"/>
          <w:bCs w:val="0"/>
          <w:color w:val="auto"/>
          <w:highlight w:val="none"/>
          <w:lang w:val="en-US" w:eastAsia="zh-CN"/>
        </w:rPr>
        <w:t>要求</w:t>
      </w:r>
      <w:bookmarkEnd w:id="11"/>
      <w:bookmarkEnd w:id="12"/>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rPr>
      </w:pPr>
      <w:r>
        <w:rPr>
          <w:rFonts w:hint="default" w:ascii="Times New Roman" w:hAnsi="Times New Roman" w:eastAsia="楷体" w:cs="Times New Roman"/>
          <w:b w:val="0"/>
          <w:bCs w:val="0"/>
          <w:color w:val="auto"/>
          <w:sz w:val="32"/>
          <w:szCs w:val="36"/>
          <w:highlight w:val="none"/>
        </w:rPr>
        <w:t>（一）培育创建</w:t>
      </w:r>
    </w:p>
    <w:p>
      <w:pPr>
        <w:spacing w:line="360" w:lineRule="auto"/>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各市（州）、贵安新区工业和信息化主管部门要结合本地实际，以</w:t>
      </w:r>
      <w:r>
        <w:rPr>
          <w:rFonts w:hint="default" w:ascii="Times New Roman" w:hAnsi="Times New Roman" w:eastAsia="仿宋_GB2312" w:cs="Times New Roman"/>
          <w:color w:val="auto"/>
          <w:sz w:val="32"/>
          <w:szCs w:val="32"/>
          <w:highlight w:val="none"/>
          <w:lang w:eastAsia="zh-CN"/>
        </w:rPr>
        <w:t>重点规上</w:t>
      </w:r>
      <w:r>
        <w:rPr>
          <w:rFonts w:hint="default" w:ascii="Times New Roman" w:hAnsi="Times New Roman" w:eastAsia="仿宋_GB2312" w:cs="Times New Roman"/>
          <w:color w:val="auto"/>
          <w:sz w:val="32"/>
          <w:szCs w:val="32"/>
          <w:highlight w:val="none"/>
        </w:rPr>
        <w:t>工业企业、省级以上</w:t>
      </w:r>
      <w:r>
        <w:rPr>
          <w:rFonts w:hint="default" w:ascii="Times New Roman" w:hAnsi="Times New Roman" w:eastAsia="仿宋_GB2312" w:cs="Times New Roman"/>
          <w:color w:val="auto"/>
          <w:sz w:val="32"/>
          <w:szCs w:val="32"/>
          <w:highlight w:val="none"/>
          <w:lang w:val="en-US" w:eastAsia="zh-CN"/>
        </w:rPr>
        <w:t>开发区</w:t>
      </w:r>
      <w:r>
        <w:rPr>
          <w:rFonts w:hint="default" w:ascii="Times New Roman" w:hAnsi="Times New Roman" w:eastAsia="仿宋_GB2312" w:cs="Times New Roman"/>
          <w:color w:val="auto"/>
          <w:sz w:val="32"/>
          <w:szCs w:val="32"/>
          <w:highlight w:val="none"/>
        </w:rPr>
        <w:t>为重点，选择各方面基础条件较好、绿色发展潜力大的企业、</w:t>
      </w:r>
      <w:r>
        <w:rPr>
          <w:rFonts w:hint="default" w:ascii="Times New Roman" w:hAnsi="Times New Roman" w:eastAsia="仿宋_GB2312" w:cs="Times New Roman"/>
          <w:color w:val="auto"/>
          <w:sz w:val="32"/>
          <w:szCs w:val="32"/>
          <w:highlight w:val="none"/>
          <w:lang w:val="en-US" w:eastAsia="zh-CN"/>
        </w:rPr>
        <w:t>开发区</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根据相关政策和</w:t>
      </w:r>
      <w:r>
        <w:rPr>
          <w:rFonts w:hint="default" w:ascii="Times New Roman" w:hAnsi="Times New Roman" w:eastAsia="仿宋_GB2312" w:cs="Times New Roman"/>
          <w:color w:val="auto"/>
          <w:sz w:val="32"/>
          <w:szCs w:val="32"/>
          <w:highlight w:val="none"/>
        </w:rPr>
        <w:t>标准，加强指导</w:t>
      </w:r>
      <w:r>
        <w:rPr>
          <w:rFonts w:hint="default" w:ascii="Times New Roman" w:hAnsi="Times New Roman" w:eastAsia="仿宋_GB2312" w:cs="Times New Roman"/>
          <w:color w:val="auto"/>
          <w:sz w:val="32"/>
          <w:szCs w:val="32"/>
          <w:highlight w:val="none"/>
          <w:lang w:val="en-US" w:eastAsia="zh-CN"/>
        </w:rPr>
        <w:t>培育，</w:t>
      </w:r>
      <w:r>
        <w:rPr>
          <w:rFonts w:hint="default" w:ascii="Times New Roman" w:hAnsi="Times New Roman" w:eastAsia="仿宋_GB2312" w:cs="Times New Roman"/>
          <w:color w:val="auto"/>
          <w:sz w:val="32"/>
          <w:szCs w:val="32"/>
          <w:highlight w:val="none"/>
        </w:rPr>
        <w:t>积极创建绿色制造</w:t>
      </w:r>
      <w:r>
        <w:rPr>
          <w:rFonts w:hint="default" w:ascii="Times New Roman" w:hAnsi="Times New Roman" w:eastAsia="仿宋_GB2312" w:cs="Times New Roman"/>
          <w:color w:val="auto"/>
          <w:sz w:val="32"/>
          <w:szCs w:val="32"/>
          <w:highlight w:val="none"/>
          <w:lang w:eastAsia="zh-CN"/>
        </w:rPr>
        <w:t>单位</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推动</w:t>
      </w:r>
      <w:r>
        <w:rPr>
          <w:rFonts w:hint="default" w:ascii="Times New Roman" w:hAnsi="Times New Roman" w:eastAsia="仿宋_GB2312" w:cs="Times New Roman"/>
          <w:color w:val="auto"/>
          <w:sz w:val="32"/>
          <w:szCs w:val="32"/>
          <w:highlight w:val="none"/>
        </w:rPr>
        <w:t>绿色生产和绿色化升级改造，树立绿色制造先进</w:t>
      </w:r>
      <w:r>
        <w:rPr>
          <w:rFonts w:hint="default" w:ascii="Times New Roman" w:hAnsi="Times New Roman" w:eastAsia="仿宋_GB2312" w:cs="Times New Roman"/>
          <w:color w:val="auto"/>
          <w:sz w:val="32"/>
          <w:szCs w:val="32"/>
          <w:highlight w:val="none"/>
          <w:lang w:eastAsia="zh-CN"/>
        </w:rPr>
        <w:t>示范</w:t>
      </w:r>
      <w:r>
        <w:rPr>
          <w:rFonts w:hint="default" w:ascii="Times New Roman" w:hAnsi="Times New Roman" w:eastAsia="仿宋_GB2312" w:cs="Times New Roman"/>
          <w:color w:val="auto"/>
          <w:sz w:val="32"/>
          <w:szCs w:val="32"/>
          <w:highlight w:val="none"/>
        </w:rPr>
        <w:t>典型</w:t>
      </w:r>
      <w:r>
        <w:rPr>
          <w:rFonts w:hint="default" w:ascii="Times New Roman" w:hAnsi="Times New Roman" w:eastAsia="仿宋_GB2312" w:cs="Times New Roman"/>
          <w:color w:val="auto"/>
          <w:sz w:val="32"/>
          <w:szCs w:val="32"/>
          <w:highlight w:val="none"/>
          <w:lang w:eastAsia="zh-CN"/>
        </w:rPr>
        <w:t>。</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r>
        <w:rPr>
          <w:rFonts w:hint="default" w:ascii="Times New Roman" w:hAnsi="Times New Roman" w:eastAsia="楷体" w:cs="Times New Roman"/>
          <w:b w:val="0"/>
          <w:bCs w:val="0"/>
          <w:color w:val="auto"/>
          <w:sz w:val="32"/>
          <w:szCs w:val="36"/>
          <w:highlight w:val="none"/>
          <w:lang w:val="en-US" w:eastAsia="zh-CN"/>
        </w:rPr>
        <w:t>（二）开展评价</w:t>
      </w:r>
    </w:p>
    <w:p>
      <w:pPr>
        <w:numPr>
          <w:ilvl w:val="0"/>
          <w:numId w:val="0"/>
        </w:numPr>
        <w:spacing w:line="360" w:lineRule="auto"/>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申报绿色制造名单的企业和开发区对照申报要求和相关标准，编制评价报告。具备绿色制造自我评价能力的企业、开发区，可自行组织实施绿色制造评价；不具备绿色制造自我评价能力的企业、开发区，可委托具备绿色制造评价能力和基础的第三方机构开展评价。实施评价的企业、开发区应收集整理评价证据，并确保证据的真实性、准确性和完整性。</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r>
        <w:rPr>
          <w:rFonts w:hint="default" w:ascii="Times New Roman" w:hAnsi="Times New Roman" w:eastAsia="楷体" w:cs="Times New Roman"/>
          <w:b w:val="0"/>
          <w:bCs w:val="0"/>
          <w:color w:val="auto"/>
          <w:sz w:val="32"/>
          <w:szCs w:val="36"/>
          <w:highlight w:val="none"/>
          <w:lang w:val="en-US" w:eastAsia="zh-CN"/>
        </w:rPr>
        <w:t>（三）申报推荐</w:t>
      </w:r>
    </w:p>
    <w:p>
      <w:pPr>
        <w:spacing w:line="360" w:lineRule="auto"/>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满足</w:t>
      </w:r>
      <w:r>
        <w:rPr>
          <w:rFonts w:hint="default" w:ascii="Times New Roman" w:hAnsi="Times New Roman" w:eastAsia="仿宋_GB2312" w:cs="Times New Roman"/>
          <w:color w:val="auto"/>
          <w:sz w:val="32"/>
          <w:szCs w:val="32"/>
          <w:highlight w:val="none"/>
        </w:rPr>
        <w:t>绿色工厂、园区、供应链评价标准的企业、</w:t>
      </w:r>
      <w:r>
        <w:rPr>
          <w:rFonts w:hint="default" w:ascii="Times New Roman" w:hAnsi="Times New Roman" w:eastAsia="仿宋_GB2312" w:cs="Times New Roman"/>
          <w:color w:val="auto"/>
          <w:sz w:val="32"/>
          <w:szCs w:val="32"/>
          <w:highlight w:val="none"/>
          <w:lang w:val="en-US" w:eastAsia="zh-CN"/>
        </w:rPr>
        <w:t>开发区</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可</w:t>
      </w:r>
      <w:r>
        <w:rPr>
          <w:rFonts w:hint="default" w:ascii="Times New Roman" w:hAnsi="Times New Roman" w:eastAsia="仿宋_GB2312" w:cs="Times New Roman"/>
          <w:color w:val="auto"/>
          <w:sz w:val="32"/>
          <w:szCs w:val="32"/>
          <w:highlight w:val="none"/>
        </w:rPr>
        <w:t>向</w:t>
      </w:r>
      <w:r>
        <w:rPr>
          <w:rFonts w:hint="default" w:ascii="Times New Roman" w:hAnsi="Times New Roman" w:eastAsia="仿宋_GB2312" w:cs="Times New Roman"/>
          <w:color w:val="auto"/>
          <w:sz w:val="32"/>
          <w:szCs w:val="32"/>
          <w:highlight w:val="none"/>
          <w:lang w:val="en-US" w:eastAsia="zh-CN"/>
        </w:rPr>
        <w:t>所在</w:t>
      </w:r>
      <w:r>
        <w:rPr>
          <w:rFonts w:hint="default" w:ascii="Times New Roman" w:hAnsi="Times New Roman" w:eastAsia="仿宋_GB2312" w:cs="Times New Roman"/>
          <w:color w:val="auto"/>
          <w:sz w:val="32"/>
          <w:szCs w:val="32"/>
          <w:highlight w:val="none"/>
        </w:rPr>
        <w:t>地</w:t>
      </w:r>
      <w:r>
        <w:rPr>
          <w:rFonts w:hint="default" w:ascii="Times New Roman" w:hAnsi="Times New Roman" w:eastAsia="仿宋_GB2312" w:cs="Times New Roman"/>
          <w:color w:val="auto"/>
          <w:sz w:val="32"/>
          <w:szCs w:val="32"/>
          <w:highlight w:val="none"/>
          <w:lang w:val="en-US" w:eastAsia="zh-CN"/>
        </w:rPr>
        <w:t>县（市、区）级</w:t>
      </w:r>
      <w:r>
        <w:rPr>
          <w:rFonts w:hint="default" w:ascii="Times New Roman" w:hAnsi="Times New Roman" w:eastAsia="仿宋_GB2312" w:cs="Times New Roman"/>
          <w:color w:val="auto"/>
          <w:sz w:val="32"/>
          <w:szCs w:val="32"/>
          <w:highlight w:val="none"/>
        </w:rPr>
        <w:t>工业和信息化主管部门提交评价报告，各地工业和信息化主管部门</w:t>
      </w:r>
      <w:r>
        <w:rPr>
          <w:rFonts w:hint="default" w:ascii="Times New Roman" w:hAnsi="Times New Roman" w:eastAsia="仿宋_GB2312" w:cs="Times New Roman"/>
          <w:color w:val="auto"/>
          <w:sz w:val="32"/>
          <w:szCs w:val="32"/>
          <w:highlight w:val="none"/>
          <w:lang w:val="en-US" w:eastAsia="zh-CN"/>
        </w:rPr>
        <w:t>逐级审核</w:t>
      </w:r>
      <w:r>
        <w:rPr>
          <w:rFonts w:hint="default" w:ascii="Times New Roman" w:hAnsi="Times New Roman" w:eastAsia="仿宋_GB2312" w:cs="Times New Roman"/>
          <w:color w:val="auto"/>
          <w:sz w:val="32"/>
          <w:szCs w:val="32"/>
          <w:highlight w:val="none"/>
        </w:rPr>
        <w:t>后</w:t>
      </w:r>
      <w:r>
        <w:rPr>
          <w:rFonts w:hint="default" w:ascii="Times New Roman" w:hAnsi="Times New Roman" w:eastAsia="仿宋_GB2312" w:cs="Times New Roman"/>
          <w:color w:val="auto"/>
          <w:sz w:val="32"/>
          <w:szCs w:val="32"/>
          <w:highlight w:val="none"/>
          <w:lang w:val="en-US" w:eastAsia="zh-CN"/>
        </w:rPr>
        <w:t>择优推荐</w:t>
      </w:r>
      <w:r>
        <w:rPr>
          <w:rFonts w:hint="default" w:ascii="Times New Roman" w:hAnsi="Times New Roman" w:eastAsia="仿宋_GB2312" w:cs="Times New Roman"/>
          <w:color w:val="auto"/>
          <w:sz w:val="32"/>
          <w:szCs w:val="32"/>
          <w:highlight w:val="none"/>
        </w:rPr>
        <w:t>报送省工业和信息化厅。</w:t>
      </w:r>
    </w:p>
    <w:p>
      <w:pPr>
        <w:spacing w:line="360" w:lineRule="auto"/>
        <w:ind w:firstLine="640" w:firstLineChars="200"/>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具体申报时间以</w:t>
      </w:r>
      <w:r>
        <w:rPr>
          <w:rFonts w:hint="default" w:ascii="Times New Roman" w:hAnsi="Times New Roman" w:eastAsia="仿宋_GB2312" w:cs="Times New Roman"/>
          <w:color w:val="auto"/>
          <w:sz w:val="32"/>
          <w:szCs w:val="32"/>
          <w:highlight w:val="none"/>
          <w:lang w:val="en-US" w:eastAsia="zh-CN"/>
        </w:rPr>
        <w:t>工业和信息化部</w:t>
      </w:r>
      <w:r>
        <w:rPr>
          <w:rFonts w:hint="default" w:ascii="Times New Roman" w:hAnsi="Times New Roman" w:eastAsia="仿宋_GB2312" w:cs="Times New Roman"/>
          <w:color w:val="auto"/>
          <w:sz w:val="32"/>
          <w:szCs w:val="32"/>
          <w:highlight w:val="none"/>
          <w:lang w:eastAsia="zh-CN"/>
        </w:rPr>
        <w:t>、省工业和信息化厅正式申报文件规定时间为准。</w:t>
      </w:r>
    </w:p>
    <w:p>
      <w:pPr>
        <w:pStyle w:val="8"/>
        <w:bidi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表1 申报范围</w:t>
      </w:r>
    </w:p>
    <w:tbl>
      <w:tblPr>
        <w:tblStyle w:val="3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9"/>
        <w:gridCol w:w="2250"/>
        <w:gridCol w:w="5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序号</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类型</w:t>
            </w:r>
          </w:p>
        </w:tc>
        <w:tc>
          <w:tcPr>
            <w:tcW w:w="3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绿色工厂</w:t>
            </w:r>
          </w:p>
        </w:tc>
        <w:tc>
          <w:tcPr>
            <w:tcW w:w="3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《国民经济行业分类（GB/T 4754—2017）》中的制造业企业（不含烟草制品业）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color w:val="auto"/>
                <w:kern w:val="0"/>
                <w:sz w:val="24"/>
                <w:szCs w:val="24"/>
                <w:highlight w:val="none"/>
                <w:u w:val="none"/>
                <w:lang w:val="en-US" w:eastAsia="zh-CN" w:bidi="ar"/>
              </w:rPr>
              <w:t>2</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绿色工业园区</w:t>
            </w:r>
          </w:p>
        </w:tc>
        <w:tc>
          <w:tcPr>
            <w:tcW w:w="3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省级</w:t>
            </w:r>
            <w:r>
              <w:rPr>
                <w:rFonts w:hint="eastAsia" w:ascii="Times New Roman" w:hAnsi="Times New Roman" w:eastAsia="仿宋_GB2312" w:cs="Times New Roman"/>
                <w:i w:val="0"/>
                <w:iCs w:val="0"/>
                <w:color w:val="auto"/>
                <w:kern w:val="0"/>
                <w:sz w:val="24"/>
                <w:szCs w:val="24"/>
                <w:highlight w:val="none"/>
                <w:u w:val="none"/>
                <w:lang w:val="en-US" w:eastAsia="zh-CN" w:bidi="ar"/>
              </w:rPr>
              <w:t>（含）</w:t>
            </w:r>
            <w:r>
              <w:rPr>
                <w:rFonts w:hint="default" w:ascii="Times New Roman" w:hAnsi="Times New Roman" w:eastAsia="仿宋_GB2312" w:cs="Times New Roman"/>
                <w:i w:val="0"/>
                <w:iCs w:val="0"/>
                <w:color w:val="auto"/>
                <w:kern w:val="0"/>
                <w:sz w:val="24"/>
                <w:szCs w:val="24"/>
                <w:highlight w:val="none"/>
                <w:u w:val="none"/>
                <w:lang w:val="en-US" w:eastAsia="zh-CN" w:bidi="ar"/>
              </w:rPr>
              <w:t>以上工业园区（开发区）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color w:val="auto"/>
                <w:kern w:val="0"/>
                <w:sz w:val="24"/>
                <w:szCs w:val="24"/>
                <w:highlight w:val="none"/>
                <w:u w:val="none"/>
                <w:lang w:val="en-US" w:eastAsia="zh-CN" w:bidi="ar"/>
              </w:rPr>
              <w:t>3</w:t>
            </w:r>
          </w:p>
        </w:tc>
        <w:tc>
          <w:tcPr>
            <w:tcW w:w="1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绿色供应链管理企业</w:t>
            </w:r>
          </w:p>
        </w:tc>
        <w:tc>
          <w:tcPr>
            <w:tcW w:w="31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《国民经济行业分类（GB/T 4754—2017）》中的制造业企业（不含烟草制品业）</w:t>
            </w:r>
          </w:p>
        </w:tc>
      </w:tr>
    </w:tbl>
    <w:p>
      <w:pPr>
        <w:bidi w:val="0"/>
        <w:rPr>
          <w:rFonts w:hint="default" w:ascii="Times New Roman" w:hAnsi="Times New Roman" w:cs="Times New Roman"/>
          <w:color w:val="auto"/>
          <w:highlight w:val="none"/>
          <w:lang w:val="en-US" w:eastAsia="zh-CN"/>
        </w:rPr>
      </w:pP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r>
        <w:rPr>
          <w:rFonts w:hint="default" w:ascii="Times New Roman" w:hAnsi="Times New Roman" w:eastAsia="楷体" w:cs="Times New Roman"/>
          <w:b w:val="0"/>
          <w:bCs w:val="0"/>
          <w:color w:val="auto"/>
          <w:sz w:val="32"/>
          <w:szCs w:val="36"/>
          <w:highlight w:val="none"/>
          <w:lang w:val="en-US" w:eastAsia="zh-CN"/>
        </w:rPr>
        <w:t>（四）组织评审</w:t>
      </w:r>
    </w:p>
    <w:p>
      <w:pPr>
        <w:spacing w:line="360" w:lineRule="auto"/>
        <w:ind w:firstLine="640" w:firstLineChars="20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省工业和信息化厅</w:t>
      </w:r>
      <w:r>
        <w:rPr>
          <w:rFonts w:hint="default" w:ascii="Times New Roman" w:hAnsi="Times New Roman" w:eastAsia="仿宋_GB2312" w:cs="Times New Roman"/>
          <w:color w:val="auto"/>
          <w:sz w:val="32"/>
          <w:szCs w:val="32"/>
          <w:highlight w:val="none"/>
          <w:lang w:val="en-US" w:eastAsia="zh-CN"/>
        </w:rPr>
        <w:t>组织专家</w:t>
      </w:r>
      <w:r>
        <w:rPr>
          <w:rFonts w:hint="default" w:ascii="Times New Roman" w:hAnsi="Times New Roman" w:eastAsia="仿宋_GB2312" w:cs="Times New Roman"/>
          <w:color w:val="auto"/>
          <w:sz w:val="32"/>
          <w:szCs w:val="32"/>
          <w:highlight w:val="none"/>
        </w:rPr>
        <w:t>对各地提交的评价报告进行评审，必要时</w:t>
      </w:r>
      <w:r>
        <w:rPr>
          <w:rFonts w:hint="default" w:ascii="Times New Roman" w:hAnsi="Times New Roman" w:eastAsia="仿宋_GB2312" w:cs="Times New Roman"/>
          <w:color w:val="auto"/>
          <w:sz w:val="32"/>
          <w:szCs w:val="32"/>
          <w:highlight w:val="none"/>
          <w:lang w:val="en-US" w:eastAsia="zh-CN"/>
        </w:rPr>
        <w:t>进行</w:t>
      </w:r>
      <w:r>
        <w:rPr>
          <w:rFonts w:hint="default" w:ascii="Times New Roman" w:hAnsi="Times New Roman" w:eastAsia="仿宋_GB2312" w:cs="Times New Roman"/>
          <w:color w:val="auto"/>
          <w:sz w:val="32"/>
          <w:szCs w:val="32"/>
          <w:highlight w:val="none"/>
        </w:rPr>
        <w:t>现场</w:t>
      </w:r>
      <w:r>
        <w:rPr>
          <w:rFonts w:hint="default" w:ascii="Times New Roman" w:hAnsi="Times New Roman" w:eastAsia="仿宋_GB2312" w:cs="Times New Roman"/>
          <w:color w:val="auto"/>
          <w:sz w:val="32"/>
          <w:szCs w:val="32"/>
          <w:highlight w:val="none"/>
          <w:lang w:val="en-US" w:eastAsia="zh-CN"/>
        </w:rPr>
        <w:t>核实</w:t>
      </w:r>
      <w:r>
        <w:rPr>
          <w:rFonts w:hint="default" w:ascii="Times New Roman" w:hAnsi="Times New Roman" w:eastAsia="仿宋_GB2312" w:cs="Times New Roman"/>
          <w:color w:val="auto"/>
          <w:sz w:val="32"/>
          <w:szCs w:val="32"/>
          <w:highlight w:val="none"/>
          <w:lang w:eastAsia="zh-CN"/>
        </w:rPr>
        <w:t>。</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r>
        <w:rPr>
          <w:rFonts w:hint="default" w:ascii="Times New Roman" w:hAnsi="Times New Roman" w:eastAsia="楷体" w:cs="Times New Roman"/>
          <w:b w:val="0"/>
          <w:bCs w:val="0"/>
          <w:color w:val="auto"/>
          <w:sz w:val="32"/>
          <w:szCs w:val="36"/>
          <w:highlight w:val="none"/>
          <w:lang w:val="en-US" w:eastAsia="zh-CN"/>
        </w:rPr>
        <w:t>（五）公布名单</w:t>
      </w:r>
    </w:p>
    <w:p>
      <w:pPr>
        <w:spacing w:line="360" w:lineRule="auto"/>
        <w:ind w:firstLine="640" w:firstLineChars="200"/>
        <w:rPr>
          <w:rFonts w:hint="default" w:ascii="Times New Roman" w:hAnsi="Times New Roman" w:eastAsia="楷体"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省工业和信息化厅依据评审情况，</w:t>
      </w:r>
      <w:r>
        <w:rPr>
          <w:rFonts w:hint="default" w:ascii="Times New Roman" w:hAnsi="Times New Roman" w:eastAsia="仿宋_GB2312" w:cs="Times New Roman"/>
          <w:color w:val="auto"/>
          <w:sz w:val="32"/>
          <w:szCs w:val="32"/>
          <w:highlight w:val="none"/>
          <w:lang w:val="en-US" w:eastAsia="zh-CN"/>
        </w:rPr>
        <w:t>通过征求有关单位意见和公示等程序，</w:t>
      </w:r>
      <w:r>
        <w:rPr>
          <w:rFonts w:hint="default" w:ascii="Times New Roman" w:hAnsi="Times New Roman" w:eastAsia="仿宋_GB2312" w:cs="Times New Roman"/>
          <w:color w:val="auto"/>
          <w:sz w:val="32"/>
          <w:szCs w:val="32"/>
          <w:highlight w:val="none"/>
          <w:lang w:eastAsia="zh-CN"/>
        </w:rPr>
        <w:t>确定</w:t>
      </w:r>
      <w:r>
        <w:rPr>
          <w:rFonts w:hint="default" w:ascii="Times New Roman" w:hAnsi="Times New Roman" w:eastAsia="仿宋_GB2312" w:cs="Times New Roman"/>
          <w:color w:val="auto"/>
          <w:sz w:val="32"/>
          <w:szCs w:val="32"/>
          <w:highlight w:val="none"/>
          <w:lang w:val="en-US" w:eastAsia="zh-CN"/>
        </w:rPr>
        <w:t>贵州省年度</w:t>
      </w:r>
      <w:r>
        <w:rPr>
          <w:rFonts w:hint="default" w:ascii="Times New Roman" w:hAnsi="Times New Roman" w:eastAsia="仿宋_GB2312" w:cs="Times New Roman"/>
          <w:color w:val="auto"/>
          <w:sz w:val="32"/>
          <w:szCs w:val="32"/>
          <w:highlight w:val="none"/>
          <w:lang w:eastAsia="zh-CN"/>
        </w:rPr>
        <w:t>绿色制造</w:t>
      </w:r>
      <w:r>
        <w:rPr>
          <w:rFonts w:hint="default" w:ascii="Times New Roman" w:hAnsi="Times New Roman" w:eastAsia="仿宋_GB2312" w:cs="Times New Roman"/>
          <w:color w:val="auto"/>
          <w:sz w:val="32"/>
          <w:szCs w:val="32"/>
          <w:highlight w:val="none"/>
          <w:lang w:val="en-US" w:eastAsia="zh-CN"/>
        </w:rPr>
        <w:t>名单，并在官网上公布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同时，</w:t>
      </w:r>
      <w:r>
        <w:rPr>
          <w:rFonts w:hint="default" w:ascii="Times New Roman" w:hAnsi="Times New Roman" w:eastAsia="仿宋_GB2312" w:cs="Times New Roman"/>
          <w:color w:val="auto"/>
          <w:sz w:val="32"/>
          <w:szCs w:val="32"/>
          <w:highlight w:val="none"/>
          <w:lang w:eastAsia="zh-CN"/>
        </w:rPr>
        <w:t>择优推荐申报</w:t>
      </w:r>
      <w:r>
        <w:rPr>
          <w:rFonts w:hint="default" w:ascii="Times New Roman" w:hAnsi="Times New Roman" w:eastAsia="仿宋_GB2312" w:cs="Times New Roman"/>
          <w:color w:val="auto"/>
          <w:sz w:val="32"/>
          <w:szCs w:val="32"/>
          <w:highlight w:val="none"/>
          <w:lang w:val="en-US" w:eastAsia="zh-CN"/>
        </w:rPr>
        <w:t>工业和信息化部绿色制造名单</w:t>
      </w:r>
      <w:r>
        <w:rPr>
          <w:rFonts w:hint="default" w:ascii="Times New Roman" w:hAnsi="Times New Roman" w:eastAsia="仿宋_GB2312" w:cs="Times New Roman"/>
          <w:color w:val="auto"/>
          <w:sz w:val="32"/>
          <w:szCs w:val="32"/>
          <w:highlight w:val="none"/>
        </w:rPr>
        <w:t>。</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r>
        <w:rPr>
          <w:rFonts w:hint="default" w:ascii="Times New Roman" w:hAnsi="Times New Roman" w:eastAsia="楷体" w:cs="Times New Roman"/>
          <w:b w:val="0"/>
          <w:bCs w:val="0"/>
          <w:color w:val="auto"/>
          <w:sz w:val="32"/>
          <w:szCs w:val="36"/>
          <w:highlight w:val="none"/>
          <w:lang w:val="en-US" w:eastAsia="zh-CN"/>
        </w:rPr>
        <w:t>（六）加强管理</w:t>
      </w:r>
    </w:p>
    <w:p>
      <w:pPr>
        <w:spacing w:line="360" w:lineRule="auto"/>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各市（州）、贵安新区工业和信息化主管部门要加强对绿色制造单位进行管理，按照</w:t>
      </w:r>
      <w:r>
        <w:rPr>
          <w:rFonts w:hint="eastAsia" w:ascii="Times New Roman" w:hAnsi="Times New Roman" w:eastAsia="仿宋_GB2312" w:cs="Times New Roman"/>
          <w:color w:val="auto"/>
          <w:sz w:val="32"/>
          <w:szCs w:val="32"/>
          <w:highlight w:val="none"/>
          <w:lang w:val="en-US" w:eastAsia="zh-CN"/>
        </w:rPr>
        <w:t>复核或动态管理要求</w:t>
      </w:r>
      <w:r>
        <w:rPr>
          <w:rFonts w:hint="default" w:ascii="Times New Roman" w:hAnsi="Times New Roman" w:eastAsia="仿宋_GB2312" w:cs="Times New Roman"/>
          <w:color w:val="auto"/>
          <w:sz w:val="32"/>
          <w:szCs w:val="32"/>
          <w:highlight w:val="none"/>
          <w:lang w:eastAsia="zh-CN"/>
        </w:rPr>
        <w:t>，组织</w:t>
      </w:r>
      <w:r>
        <w:rPr>
          <w:rFonts w:hint="eastAsia" w:ascii="Times New Roman" w:hAnsi="Times New Roman" w:eastAsia="仿宋_GB2312" w:cs="Times New Roman"/>
          <w:color w:val="auto"/>
          <w:sz w:val="32"/>
          <w:szCs w:val="32"/>
          <w:highlight w:val="none"/>
          <w:lang w:val="en-US" w:eastAsia="zh-CN"/>
        </w:rPr>
        <w:t>指导</w:t>
      </w:r>
      <w:r>
        <w:rPr>
          <w:rFonts w:hint="default" w:ascii="Times New Roman" w:hAnsi="Times New Roman" w:eastAsia="仿宋_GB2312" w:cs="Times New Roman"/>
          <w:color w:val="auto"/>
          <w:sz w:val="32"/>
          <w:szCs w:val="32"/>
          <w:highlight w:val="none"/>
          <w:lang w:eastAsia="zh-CN"/>
        </w:rPr>
        <w:t>本地区绿色制造单位</w:t>
      </w:r>
      <w:r>
        <w:rPr>
          <w:rFonts w:hint="eastAsia" w:ascii="Times New Roman" w:hAnsi="Times New Roman" w:eastAsia="仿宋_GB2312" w:cs="Times New Roman"/>
          <w:color w:val="auto"/>
          <w:sz w:val="32"/>
          <w:szCs w:val="32"/>
          <w:highlight w:val="none"/>
          <w:lang w:val="en-US" w:eastAsia="zh-CN"/>
        </w:rPr>
        <w:t>重点对绿色制造关键指标持续符合性</w:t>
      </w:r>
      <w:r>
        <w:rPr>
          <w:rFonts w:hint="default" w:ascii="Times New Roman" w:hAnsi="Times New Roman" w:eastAsia="仿宋_GB2312" w:cs="Times New Roman"/>
          <w:color w:val="auto"/>
          <w:sz w:val="32"/>
          <w:szCs w:val="32"/>
          <w:highlight w:val="none"/>
          <w:lang w:eastAsia="zh-CN"/>
        </w:rPr>
        <w:t>开展复核</w:t>
      </w:r>
      <w:r>
        <w:rPr>
          <w:rFonts w:hint="eastAsia" w:ascii="Times New Roman" w:hAnsi="Times New Roman" w:eastAsia="仿宋_GB2312" w:cs="Times New Roman"/>
          <w:color w:val="auto"/>
          <w:sz w:val="32"/>
          <w:szCs w:val="32"/>
          <w:highlight w:val="none"/>
          <w:lang w:val="en-US" w:eastAsia="zh-CN"/>
        </w:rPr>
        <w:t>或填报动态管理表</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指导绿色制造单位</w:t>
      </w:r>
      <w:r>
        <w:rPr>
          <w:rFonts w:hint="default" w:ascii="Times New Roman" w:hAnsi="Times New Roman" w:eastAsia="仿宋_GB2312" w:cs="Times New Roman"/>
          <w:color w:val="auto"/>
          <w:sz w:val="32"/>
          <w:szCs w:val="32"/>
          <w:highlight w:val="none"/>
          <w:lang w:eastAsia="zh-CN"/>
        </w:rPr>
        <w:t>报送绿色发展数据指标及相关资料，</w:t>
      </w:r>
      <w:r>
        <w:rPr>
          <w:rFonts w:hint="default" w:ascii="Times New Roman" w:hAnsi="Times New Roman" w:eastAsia="仿宋_GB2312" w:cs="Times New Roman"/>
          <w:color w:val="auto"/>
          <w:sz w:val="32"/>
          <w:szCs w:val="32"/>
          <w:highlight w:val="none"/>
          <w:lang w:val="en-US" w:eastAsia="zh-CN"/>
        </w:rPr>
        <w:t>以及开展绿色制造水平指标自我声明（更新）</w:t>
      </w:r>
      <w:r>
        <w:rPr>
          <w:rFonts w:hint="default" w:ascii="Times New Roman" w:hAnsi="Times New Roman" w:eastAsia="仿宋_GB2312" w:cs="Times New Roman"/>
          <w:color w:val="auto"/>
          <w:sz w:val="32"/>
          <w:szCs w:val="32"/>
          <w:highlight w:val="none"/>
          <w:lang w:eastAsia="zh-CN"/>
        </w:rPr>
        <w:t>。对不再符合绿色制造评价要求的单位，将复核结果报送省工业和信息化厅。省工业和信息化厅及时公布绿色制造名单更名、取消结果。</w:t>
      </w:r>
    </w:p>
    <w:p>
      <w:pPr>
        <w:pStyle w:val="4"/>
        <w:bidi w:val="0"/>
        <w:ind w:firstLine="640" w:firstLineChars="200"/>
        <w:outlineLvl w:val="0"/>
        <w:rPr>
          <w:rFonts w:hint="default" w:ascii="Times New Roman" w:hAnsi="Times New Roman" w:eastAsia="黑体" w:cs="Times New Roman"/>
          <w:b w:val="0"/>
          <w:bCs w:val="0"/>
          <w:color w:val="auto"/>
          <w:highlight w:val="none"/>
          <w:lang w:val="en-US" w:eastAsia="zh-CN"/>
        </w:rPr>
      </w:pPr>
      <w:bookmarkStart w:id="13" w:name="_Toc14933"/>
      <w:bookmarkStart w:id="14" w:name="_Toc26292"/>
      <w:r>
        <w:rPr>
          <w:rFonts w:hint="default" w:ascii="Times New Roman" w:hAnsi="Times New Roman" w:eastAsia="黑体" w:cs="Times New Roman"/>
          <w:b w:val="0"/>
          <w:bCs w:val="0"/>
          <w:color w:val="auto"/>
          <w:highlight w:val="none"/>
          <w:lang w:val="en-US" w:eastAsia="zh-CN"/>
        </w:rPr>
        <w:t>三、绿色工厂评价要求</w:t>
      </w:r>
      <w:bookmarkEnd w:id="13"/>
      <w:bookmarkEnd w:id="14"/>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bookmarkStart w:id="15" w:name="_Toc6687"/>
      <w:bookmarkStart w:id="16" w:name="_Toc16680"/>
      <w:bookmarkStart w:id="17" w:name="_Toc8483"/>
      <w:bookmarkStart w:id="18" w:name="_Toc23677"/>
      <w:r>
        <w:rPr>
          <w:rFonts w:hint="default" w:ascii="Times New Roman" w:hAnsi="Times New Roman" w:eastAsia="楷体" w:cs="Times New Roman"/>
          <w:b w:val="0"/>
          <w:bCs w:val="0"/>
          <w:color w:val="auto"/>
          <w:sz w:val="32"/>
          <w:szCs w:val="36"/>
          <w:highlight w:val="none"/>
        </w:rPr>
        <w:t>（</w:t>
      </w:r>
      <w:r>
        <w:rPr>
          <w:rFonts w:hint="default" w:ascii="Times New Roman" w:hAnsi="Times New Roman" w:eastAsia="楷体" w:cs="Times New Roman"/>
          <w:b w:val="0"/>
          <w:bCs w:val="0"/>
          <w:color w:val="auto"/>
          <w:sz w:val="32"/>
          <w:szCs w:val="36"/>
          <w:highlight w:val="none"/>
          <w:lang w:val="en-US" w:eastAsia="zh-CN"/>
        </w:rPr>
        <w:t>一</w:t>
      </w:r>
      <w:r>
        <w:rPr>
          <w:rFonts w:hint="default" w:ascii="Times New Roman" w:hAnsi="Times New Roman" w:eastAsia="楷体" w:cs="Times New Roman"/>
          <w:b w:val="0"/>
          <w:bCs w:val="0"/>
          <w:color w:val="auto"/>
          <w:sz w:val="32"/>
          <w:szCs w:val="36"/>
          <w:highlight w:val="none"/>
        </w:rPr>
        <w:t>）</w:t>
      </w:r>
      <w:r>
        <w:rPr>
          <w:rFonts w:hint="default" w:ascii="Times New Roman" w:hAnsi="Times New Roman" w:eastAsia="楷体" w:cs="Times New Roman"/>
          <w:b w:val="0"/>
          <w:bCs w:val="0"/>
          <w:color w:val="auto"/>
          <w:sz w:val="32"/>
          <w:szCs w:val="36"/>
          <w:highlight w:val="none"/>
          <w:lang w:val="en-US" w:eastAsia="zh-CN"/>
        </w:rPr>
        <w:t>基本要求</w:t>
      </w:r>
      <w:bookmarkEnd w:id="15"/>
      <w:bookmarkEnd w:id="16"/>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1.符合《绿色工厂评价通则》（GB_T36132-2018）或相关标准中的基本要求。</w:t>
      </w:r>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2.申报绿色工厂的企业，年综合能源消费量3000吨标准煤以上（含3000吨标准煤，电力折标系数按当量值）的企业，需开展能源管理体系认证。</w:t>
      </w:r>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3.</w:t>
      </w:r>
      <w:r>
        <w:rPr>
          <w:rFonts w:hint="default" w:ascii="Times New Roman" w:hAnsi="Times New Roman" w:eastAsia="仿宋_GB2312" w:cs="Times New Roman"/>
          <w:color w:val="auto"/>
          <w:kern w:val="0"/>
          <w:sz w:val="32"/>
          <w:szCs w:val="32"/>
          <w:highlight w:val="none"/>
        </w:rPr>
        <w:t>近三年有下列情况的，不得申报绿色制造名单：</w:t>
      </w:r>
    </w:p>
    <w:p>
      <w:pPr>
        <w:autoSpaceDE w:val="0"/>
        <w:autoSpaceDN w:val="0"/>
        <w:adjustRightInd w:val="0"/>
        <w:ind w:firstLine="640" w:firstLineChars="200"/>
        <w:jc w:val="left"/>
        <w:rPr>
          <w:rFonts w:hint="default" w:ascii="Times New Roman" w:hAnsi="Times New Roman" w:eastAsia="楷体"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未正常经营生产的；发生较大及以上生产安全和质量事故、Ⅲ级（较大）及以上突发环境污染事件的；在国务院及有关部门相关督查工作中被发现存在问题的、被列入工业节能监察整改名单且未按要求完成整改的、失信被执行人等。</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r>
        <w:rPr>
          <w:rFonts w:hint="default" w:ascii="Times New Roman" w:hAnsi="Times New Roman" w:eastAsia="楷体" w:cs="Times New Roman"/>
          <w:b w:val="0"/>
          <w:bCs w:val="0"/>
          <w:color w:val="auto"/>
          <w:sz w:val="32"/>
          <w:szCs w:val="36"/>
          <w:highlight w:val="none"/>
          <w:lang w:eastAsia="zh-CN"/>
        </w:rPr>
        <w:t>（</w:t>
      </w:r>
      <w:r>
        <w:rPr>
          <w:rFonts w:hint="default" w:ascii="Times New Roman" w:hAnsi="Times New Roman" w:eastAsia="楷体" w:cs="Times New Roman"/>
          <w:b w:val="0"/>
          <w:bCs w:val="0"/>
          <w:color w:val="auto"/>
          <w:sz w:val="32"/>
          <w:szCs w:val="36"/>
          <w:highlight w:val="none"/>
          <w:lang w:val="en-US" w:eastAsia="zh-CN"/>
        </w:rPr>
        <w:t>二</w:t>
      </w:r>
      <w:r>
        <w:rPr>
          <w:rFonts w:hint="default" w:ascii="Times New Roman" w:hAnsi="Times New Roman" w:eastAsia="楷体" w:cs="Times New Roman"/>
          <w:b w:val="0"/>
          <w:bCs w:val="0"/>
          <w:color w:val="auto"/>
          <w:sz w:val="32"/>
          <w:szCs w:val="36"/>
          <w:highlight w:val="none"/>
          <w:lang w:eastAsia="zh-CN"/>
        </w:rPr>
        <w:t>）</w:t>
      </w:r>
      <w:r>
        <w:rPr>
          <w:rFonts w:hint="default" w:ascii="Times New Roman" w:hAnsi="Times New Roman" w:eastAsia="楷体" w:cs="Times New Roman"/>
          <w:b w:val="0"/>
          <w:bCs w:val="0"/>
          <w:color w:val="auto"/>
          <w:sz w:val="32"/>
          <w:szCs w:val="36"/>
          <w:highlight w:val="none"/>
          <w:lang w:val="en-US" w:eastAsia="zh-CN"/>
        </w:rPr>
        <w:t>评价说明</w:t>
      </w:r>
      <w:bookmarkEnd w:id="17"/>
      <w:bookmarkEnd w:id="18"/>
    </w:p>
    <w:p>
      <w:pPr>
        <w:autoSpaceDE w:val="0"/>
        <w:autoSpaceDN w:val="0"/>
        <w:adjustRightInd w:val="0"/>
        <w:ind w:firstLine="640" w:firstLineChars="200"/>
        <w:jc w:val="left"/>
        <w:rPr>
          <w:rFonts w:hint="default" w:ascii="Times New Roman" w:hAnsi="Times New Roman" w:eastAsia="仿宋_GB2312" w:cs="Times New Roman"/>
          <w:b/>
          <w:bCs/>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1.绿色工厂评价分行业进行评价（详见表2）。已发布绿色制造行业标准、团体标准（详见表3）的，按照具体行业标准进行评价</w:t>
      </w:r>
      <w:r>
        <w:rPr>
          <w:rFonts w:hint="eastAsia" w:ascii="Times New Roman" w:hAnsi="Times New Roman" w:eastAsia="仿宋_GB2312" w:cs="Times New Roman"/>
          <w:color w:val="auto"/>
          <w:kern w:val="0"/>
          <w:sz w:val="32"/>
          <w:szCs w:val="32"/>
          <w:highlight w:val="none"/>
          <w:lang w:val="en-US" w:eastAsia="zh-CN"/>
        </w:rPr>
        <w:t>，无行业标准的鼓励</w:t>
      </w:r>
      <w:r>
        <w:rPr>
          <w:rFonts w:hint="default" w:ascii="Times New Roman" w:hAnsi="Times New Roman" w:eastAsia="仿宋_GB2312" w:cs="Times New Roman"/>
          <w:color w:val="auto"/>
          <w:kern w:val="0"/>
          <w:sz w:val="32"/>
          <w:szCs w:val="32"/>
          <w:highlight w:val="none"/>
          <w:lang w:val="en-US" w:eastAsia="zh-CN"/>
        </w:rPr>
        <w:t>参考团体标准</w:t>
      </w:r>
      <w:r>
        <w:rPr>
          <w:rFonts w:hint="eastAsia" w:ascii="Times New Roman" w:hAnsi="Times New Roman" w:eastAsia="仿宋_GB2312" w:cs="Times New Roman"/>
          <w:color w:val="auto"/>
          <w:kern w:val="0"/>
          <w:sz w:val="32"/>
          <w:szCs w:val="32"/>
          <w:highlight w:val="none"/>
          <w:lang w:val="en-US" w:eastAsia="zh-CN"/>
        </w:rPr>
        <w:t>进行评价</w:t>
      </w:r>
      <w:r>
        <w:rPr>
          <w:rFonts w:hint="default"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lang w:val="en-US" w:eastAsia="zh-CN"/>
        </w:rPr>
        <w:t>无具体相关行业标准、团体标准的，按照</w:t>
      </w:r>
      <w:r>
        <w:rPr>
          <w:rFonts w:hint="default" w:ascii="Times New Roman" w:hAnsi="Times New Roman" w:eastAsia="仿宋_GB2312" w:cs="Times New Roman"/>
          <w:color w:val="auto"/>
          <w:kern w:val="0"/>
          <w:sz w:val="32"/>
          <w:szCs w:val="32"/>
          <w:highlight w:val="none"/>
        </w:rPr>
        <w:t>《绿色工厂评价通则》（GB_T36132-2018）</w:t>
      </w:r>
      <w:r>
        <w:rPr>
          <w:rFonts w:hint="eastAsia" w:ascii="Times New Roman" w:hAnsi="Times New Roman" w:eastAsia="仿宋_GB2312" w:cs="Times New Roman"/>
          <w:color w:val="auto"/>
          <w:kern w:val="0"/>
          <w:sz w:val="32"/>
          <w:szCs w:val="32"/>
          <w:highlight w:val="none"/>
          <w:lang w:val="en-US" w:eastAsia="zh-CN"/>
        </w:rPr>
        <w:t>进行评价，</w:t>
      </w:r>
      <w:r>
        <w:rPr>
          <w:rFonts w:hint="eastAsia" w:ascii="Times New Roman" w:hAnsi="Times New Roman" w:eastAsia="仿宋_GB2312" w:cs="Times New Roman"/>
          <w:color w:val="auto"/>
          <w:kern w:val="0"/>
          <w:sz w:val="32"/>
          <w:szCs w:val="32"/>
          <w:highlight w:val="none"/>
          <w:lang w:val="en-US" w:eastAsia="zh-CN"/>
        </w:rPr>
        <w:t>可</w:t>
      </w:r>
      <w:r>
        <w:rPr>
          <w:rFonts w:hint="default" w:ascii="Times New Roman" w:hAnsi="Times New Roman" w:eastAsia="仿宋_GB2312" w:cs="Times New Roman"/>
          <w:color w:val="auto"/>
          <w:kern w:val="0"/>
          <w:sz w:val="32"/>
          <w:szCs w:val="32"/>
          <w:highlight w:val="none"/>
          <w:lang w:val="en-US" w:eastAsia="zh-CN"/>
        </w:rPr>
        <w:t>参考地方标准进行评价。</w:t>
      </w:r>
    </w:p>
    <w:p>
      <w:pPr>
        <w:autoSpaceDE w:val="0"/>
        <w:autoSpaceDN w:val="0"/>
        <w:adjustRightInd w:val="0"/>
        <w:ind w:firstLine="640" w:firstLineChars="200"/>
        <w:jc w:val="left"/>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2.绿色工厂绩效指标水平无行业标准参考时，可参考相关行业清洁生产评价指标体系中的相关指标值。</w:t>
      </w:r>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b w:val="0"/>
          <w:bCs w:val="0"/>
          <w:color w:val="auto"/>
          <w:kern w:val="0"/>
          <w:sz w:val="32"/>
          <w:szCs w:val="32"/>
          <w:highlight w:val="none"/>
          <w:lang w:val="en-US" w:eastAsia="zh-CN"/>
        </w:rPr>
        <w:t>3.按照</w:t>
      </w:r>
      <w:r>
        <w:rPr>
          <w:rFonts w:hint="default" w:ascii="Times New Roman" w:hAnsi="Times New Roman" w:eastAsia="仿宋_GB2312" w:cs="Times New Roman"/>
          <w:color w:val="auto"/>
          <w:kern w:val="0"/>
          <w:sz w:val="32"/>
          <w:szCs w:val="32"/>
          <w:highlight w:val="none"/>
          <w:lang w:val="en-US" w:eastAsia="zh-CN"/>
        </w:rPr>
        <w:t>附件1要求及相关标准编制《</w:t>
      </w:r>
      <w:r>
        <w:rPr>
          <w:rFonts w:hint="default" w:ascii="Times New Roman" w:hAnsi="Times New Roman" w:eastAsia="仿宋_GB2312" w:cs="Times New Roman"/>
          <w:color w:val="auto"/>
          <w:kern w:val="0"/>
          <w:sz w:val="32"/>
          <w:szCs w:val="32"/>
          <w:highlight w:val="none"/>
        </w:rPr>
        <w:t>绿色工厂评价报告</w:t>
      </w:r>
      <w:r>
        <w:rPr>
          <w:rFonts w:hint="default"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rPr>
        <w:t>。</w:t>
      </w:r>
      <w:r>
        <w:rPr>
          <w:rFonts w:hint="default" w:ascii="Times New Roman" w:hAnsi="Times New Roman" w:eastAsia="仿宋_GB2312" w:cs="Times New Roman"/>
          <w:color w:val="auto"/>
          <w:kern w:val="0"/>
          <w:sz w:val="32"/>
          <w:szCs w:val="32"/>
          <w:highlight w:val="none"/>
          <w:lang w:val="en-US" w:eastAsia="zh-CN"/>
        </w:rPr>
        <w:t>本《指南》所列的相关标准如更新的，则以更新版本为准。</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eastAsia="zh-CN"/>
        </w:rPr>
      </w:pPr>
      <w:bookmarkStart w:id="19" w:name="_Toc5088"/>
      <w:bookmarkStart w:id="20" w:name="_Toc29088"/>
      <w:r>
        <w:rPr>
          <w:rFonts w:hint="default" w:ascii="Times New Roman" w:hAnsi="Times New Roman" w:eastAsia="楷体" w:cs="Times New Roman"/>
          <w:b w:val="0"/>
          <w:bCs w:val="0"/>
          <w:color w:val="auto"/>
          <w:sz w:val="32"/>
          <w:szCs w:val="36"/>
          <w:highlight w:val="none"/>
          <w:lang w:eastAsia="zh-CN"/>
        </w:rPr>
        <w:t>（</w:t>
      </w:r>
      <w:r>
        <w:rPr>
          <w:rFonts w:hint="default" w:ascii="Times New Roman" w:hAnsi="Times New Roman" w:eastAsia="楷体" w:cs="Times New Roman"/>
          <w:b w:val="0"/>
          <w:bCs w:val="0"/>
          <w:color w:val="auto"/>
          <w:sz w:val="32"/>
          <w:szCs w:val="36"/>
          <w:highlight w:val="none"/>
          <w:lang w:val="en-US" w:eastAsia="zh-CN"/>
        </w:rPr>
        <w:t>三</w:t>
      </w:r>
      <w:r>
        <w:rPr>
          <w:rFonts w:hint="default" w:ascii="Times New Roman" w:hAnsi="Times New Roman" w:eastAsia="楷体" w:cs="Times New Roman"/>
          <w:b w:val="0"/>
          <w:bCs w:val="0"/>
          <w:color w:val="auto"/>
          <w:sz w:val="32"/>
          <w:szCs w:val="36"/>
          <w:highlight w:val="none"/>
          <w:lang w:eastAsia="zh-CN"/>
        </w:rPr>
        <w:t>）评价依据</w:t>
      </w:r>
      <w:bookmarkEnd w:id="19"/>
      <w:bookmarkEnd w:id="20"/>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1.《绿色工厂评价通则》（GB_T36132-2018）。</w:t>
      </w:r>
    </w:p>
    <w:p>
      <w:pPr>
        <w:autoSpaceDE w:val="0"/>
        <w:autoSpaceDN w:val="0"/>
        <w:adjustRightInd w:val="0"/>
        <w:ind w:firstLine="640" w:firstLineChars="200"/>
        <w:jc w:val="left"/>
        <w:rPr>
          <w:rFonts w:hint="default" w:ascii="Times New Roman" w:hAnsi="Times New Roman" w:eastAsia="楷体"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2.</w:t>
      </w:r>
      <w:r>
        <w:rPr>
          <w:rFonts w:hint="default" w:ascii="Times New Roman" w:hAnsi="Times New Roman" w:eastAsia="仿宋_GB2312" w:cs="Times New Roman"/>
          <w:color w:val="auto"/>
          <w:kern w:val="0"/>
          <w:sz w:val="32"/>
          <w:szCs w:val="32"/>
          <w:highlight w:val="none"/>
          <w:lang w:val="en-US" w:eastAsia="zh-CN"/>
        </w:rPr>
        <w:t>绿色工厂评价相关的行业标准、团体标准、地方标准</w:t>
      </w:r>
      <w:r>
        <w:rPr>
          <w:rFonts w:hint="default" w:ascii="Times New Roman" w:hAnsi="Times New Roman" w:eastAsia="仿宋_GB2312" w:cs="Times New Roman"/>
          <w:color w:val="auto"/>
          <w:kern w:val="0"/>
          <w:sz w:val="32"/>
          <w:szCs w:val="32"/>
          <w:highlight w:val="none"/>
        </w:rPr>
        <w:t>。</w:t>
      </w: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17" w:charSpace="0"/>
        </w:sectPr>
      </w:pPr>
    </w:p>
    <w:p>
      <w:pPr>
        <w:pStyle w:val="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 绿色工厂评价标准</w:t>
      </w:r>
    </w:p>
    <w:tbl>
      <w:tblPr>
        <w:tblStyle w:val="3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3"/>
        <w:gridCol w:w="1714"/>
        <w:gridCol w:w="5052"/>
        <w:gridCol w:w="6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blHeader/>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行业大类简称</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行业子类简称</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对应国民经济行业分类（GB/T 4754—2017）</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行业评价标准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轻工</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食品</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13农副食品加工业</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14食品制造业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5705-2022乳制品行业绿色工厂评价要求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5791-2022食用植物油行业绿色工厂评价要求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5746-2022山梨糖醇行业绿色工厂评价要求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5745-2022淀粉糖行业绿色工厂评价要求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5744-2022氨基酸行业绿色工厂评价要求</w:t>
            </w:r>
          </w:p>
          <w:p>
            <w:pPr>
              <w:keepNext w:val="0"/>
              <w:keepLines w:val="0"/>
              <w:widowControl/>
              <w:suppressLineNumbers w:val="0"/>
              <w:jc w:val="left"/>
              <w:textAlignment w:val="center"/>
              <w:rPr>
                <w:rFonts w:hint="default" w:ascii="Times New Roman" w:hAnsi="Times New Roman" w:cs="Times New Roman"/>
                <w:color w:val="auto"/>
                <w:highlight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5743-2022酵母行业绿色工厂评价要求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酒</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151酒的制造（除1511酒精制造）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饮料</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152饮料制造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茶</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153精制茶加工</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皮革及制品</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19 皮革、毛皮、羽毛及其制品和制鞋业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5707-2022箱包皮具行业绿色工厂评价要求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5706-2022毛皮硝染行业绿色工厂评价要求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5792-2022皮革和毛皮服饰加工行业绿色工厂评价要求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5598-2021 人造革与合成革工业 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5575-2021 制鞋行业绿色工厂评价导则</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QB/T 5572-2021 制革行业绿色工厂评价导则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木材及制品</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20 木材加工和木、竹、藤、棕、草制品业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家具</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21 家具制造业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QB/T 5704-2022家具行业绿色工厂评价导则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造纸</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22 造纸和纸制品业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文印</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23 印刷和记录媒介复制业</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24 文教、工美、体育和娱乐用品制造业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橡胶塑料制品</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29 橡胶和塑料制品业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HG/T 6061-2022轮胎行业绿色工厂评价要求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其他轻工</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其他：268日用化学产品制造（除2684香料、香精制造），305玻璃制品制造，307陶瓷制品制造（除3071建筑陶瓷制品制造，3072卫生陶瓷制品制造），338金属制日用品制造，376自行车和残疾人座车制造，384电池制造，385家用电力器具制造，387照明器具制造，403钟表与计时仪器制造，405衡器制造，411日用杂品制造等11个中类所包含的全部企业；3322手工具制造，3324刀剪及类似日用金属工具制造，3379搪瓷日用品及其他搪瓷制品制造，3473照相机及器材制造，3587眼镜制造，3351建筑、家具用金属配件制造等6个小类的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JB/T 14174-2023</w:t>
            </w:r>
            <w:r>
              <w:rPr>
                <w:rFonts w:hint="default" w:ascii="Times New Roman" w:hAnsi="Times New Roman" w:eastAsia="仿宋_GB2312" w:cs="Times New Roman"/>
                <w:b w:val="0"/>
                <w:bCs w:val="0"/>
                <w:i w:val="0"/>
                <w:iCs w:val="0"/>
                <w:color w:val="auto"/>
                <w:sz w:val="22"/>
                <w:szCs w:val="22"/>
                <w:highlight w:val="none"/>
                <w:u w:val="none"/>
              </w:rPr>
              <w:tab/>
            </w:r>
            <w:r>
              <w:rPr>
                <w:rFonts w:hint="default" w:ascii="Times New Roman" w:hAnsi="Times New Roman" w:eastAsia="仿宋_GB2312" w:cs="Times New Roman"/>
                <w:b w:val="0"/>
                <w:bCs w:val="0"/>
                <w:i w:val="0"/>
                <w:iCs w:val="0"/>
                <w:color w:val="auto"/>
                <w:sz w:val="22"/>
                <w:szCs w:val="22"/>
                <w:highlight w:val="none"/>
                <w:u w:val="none"/>
              </w:rPr>
              <w:t>铅酸蓄电池行业绿色工厂评价要求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8" w:hRule="atLeast"/>
        </w:trPr>
        <w:tc>
          <w:tcPr>
            <w:tcW w:w="375"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纺织</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棉纺织</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17纺织业中的171 棉纺织及印染精加工</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FZ/T 07004-2019 纺织行业绿色工厂评价导则（行业通用）</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FZ/T 07022-2021 色纺纱行业绿色工厂评价要求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FZ/T 07009-2020 筒子纱智能染色绿色工厂评价要求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毛纺织</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17纺织业中的172 毛纺织及染整精加工</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FZ/T 07021-2021 毛纺织行业绿色工厂评价要求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麻纺织</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17纺织业中的173 麻纺织及染整精加工</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丝绢纺织</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17纺织业中的174 丝绢纺织及印染精加工</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FZ/T 07006-2020 丝绸行业绿色工厂评价要求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其他纺织</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17纺织业中的175-178中类企业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服装</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18纺织服装、服饰业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医药</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化学药</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27 医药制造业中的271化学药品原料药制造、272 化学药品制剂制造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5902-2021 化学制药行业绿色工厂评价要求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中药</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27 医药制造业中的273 中药饮片加工、274 中成药生产</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兽用药</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27 医药制造业中的275 兽用药品制造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生物药</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27 医药制造业中的276 生物药品制品制造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其他医药</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27 医药制造业中的277-278中类企业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化工</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石油化工</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25 石油、煤炭及其他燃料加工业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5678-2020石油天然气开采行业绿色工厂评价要求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5972-2021 石油和化工行业绿色工厂评价导则</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5677-2020 石油炼制行业绿色工厂评价要求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5891-2021 煤制烯烃行业绿色工厂评价要求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YB/T 4916-2021 焦化行业绿色工厂评价导则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基础化工</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26 化学原料和化学制品制造业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6195-2023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有机硅行业绿色工厂评价要求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6194-2023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电石行业绿色工厂评价要求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6192-2023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腐植酸肥料行业绿色工厂评价要求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6180-2023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二氧化硅行业绿色工厂评价要求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6179-2023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磷酸行业绿色工厂评价要求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6178-2023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锆盐行业绿色工厂评价要求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6177-2023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钾盐行业绿色工厂评价要求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6176-2023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氢氧化钾行业绿色工厂评价要求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6175-2023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无机过氧酸盐行业绿色工厂评价要求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6174-2023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聚丙烯酰胺行业绿色工厂评价要求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6173-2023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无机氟化物行业绿色工厂评价要求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6172-2023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磷酸盐行业绿色工厂评价要求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6170-2023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有机膦水处理剂行业绿色工厂评价要求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6169-2023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硝酸行业绿色工厂评价要求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6168-2023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车用尿素行业绿色工厂评价要求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6200-2023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磷酸一铵、磷酸二铵行业绿色工厂评价要求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6199-2023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复合肥料行业绿色工厂评价要求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6198-2023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酸性染料行业绿色工厂评价要求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6197-2023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反应染料行业绿色工厂评价要求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6196-2023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分散染料行业绿色工厂评价要求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6201-2023</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ab/>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硫酸钾行业绿色工厂评价要求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6140-2023染料行业绿色工厂评价导则</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6060-2022聚己内酰胺（PA6）行业绿色工厂评价要求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6059-2022聚氨酯树脂行业绿色工厂评价要求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6123-2022三氯乙烯行业绿色工厂评价要求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6122-2022二氟甲烷行业绿色工厂评价要求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5991-2021 聚碳酸酯行业绿色工厂评价要求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5987-2021 硫酸行业绿色工厂评价要求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5986-2021 涂料行业绿色工厂评价要求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5984-2021 钛白粉行业绿色工厂评价要求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5974-2021 碳酸钠（纯碱）行业绿色工厂评价要求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5973-2021 二氧化碳行业绿色工厂评价要求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5908-2021 异氰酸酯行业绿色工厂评价要求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5900-2021 黄磷行业绿色工厂评价要求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5866-2021 精对苯二甲酸行业绿色工厂评价要求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5865-2021 烧碱行业绿色工厂评价要求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5892-2021 尿素行业绿色工厂评价要求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5512-2018 合成氨行业绿色工厂评价导则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化学纤维</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28 化学纤维制造业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建材</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水泥</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30非金属矿物制品业中的3011水泥制造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2634-2021 水泥行业绿色工厂评价要求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2562-2020 水泥行业绿色工厂评价导则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石灰石膏及水泥制品</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30非金属矿物制品业中的3012、3021-3029小类企业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2638-2021 石膏制品行业绿色工厂评价要求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2637-2021 水泥制品行业绿色工厂评价要求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一般建筑材料</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30非金属矿物制品业中的303 砖瓦、石材等建筑材料制</w:t>
            </w:r>
            <w:r>
              <w:rPr>
                <w:rFonts w:hint="eastAsia" w:ascii="Times New Roman" w:hAnsi="Times New Roman" w:eastAsia="仿宋_GB2312" w:cs="Times New Roman"/>
                <w:b w:val="0"/>
                <w:bCs w:val="0"/>
                <w:i w:val="0"/>
                <w:iCs w:val="0"/>
                <w:color w:val="auto"/>
                <w:kern w:val="0"/>
                <w:sz w:val="22"/>
                <w:szCs w:val="22"/>
                <w:highlight w:val="none"/>
                <w:u w:val="none"/>
                <w:lang w:val="en-US" w:eastAsia="zh-CN" w:bidi="ar"/>
              </w:rPr>
              <w:t>a</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p>
          <w:p>
            <w:pPr>
              <w:pStyle w:val="47"/>
              <w:ind w:left="0" w:leftChars="0" w:firstLine="0" w:firstLineChars="0"/>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2740-2022墙体板材行业绿色工厂评价要求</w:t>
            </w:r>
          </w:p>
          <w:p>
            <w:pPr>
              <w:pStyle w:val="47"/>
              <w:ind w:left="0" w:leftChars="0" w:firstLine="0" w:firstLineChars="0"/>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2739-2022砖和砌块行业绿色工厂评价要求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2700-2022建筑防水材料行业绿色工厂评价要求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2699-2022预拌混凝土行业绿色工厂评价要求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2617-2021 墙体材料行业绿色工厂评价导则（适用于新型墙体材料、保温材料等）</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2641-2021 砂石行业绿色工厂评价要求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2616-2021 预拌砂浆行业绿色工厂评价要求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玻璃</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30非金属矿物制品业中的304 玻璃制造、306 玻璃纤维和玻璃纤维增强塑料制品制造</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不包括：305玻璃制品制造中类所包含的全部企业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2635-2021 玻璃行业绿色工厂评价要求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2563-2020 玻璃行业绿色工厂评价导则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陶瓷</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30非金属矿物制品业中的307 陶瓷制品制造</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不包括：3073特种陶瓷制品制造，3074日用陶瓷制品制造，3075陈设艺术陶瓷制造，3076园艺陶瓷制造，3079其他陶瓷制品制造等5个小类的企业。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2636-2021 建筑陶瓷行业绿色工厂评价要求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2565-2020 卫生陶瓷行业绿色工厂评价导则</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2564-2020 建筑陶瓷行业绿色工厂评价导则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耐火材料</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30非金属矿物制品业中的308 耐火材料制品制造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2640-2021 耐火材料行业绿色工厂评价要求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JC/T 2639-2021 绝热材料行业绿色工厂评价要求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其他建材</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30非金属矿物制品业中的309中类企业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冶金</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钢铁</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31 黑色金属冶炼和压延加工业中的311 炼铁、312 炼钢、313 钢压延加工</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YB/T 4771-2019 钢铁行业绿色工厂评价导则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8"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铁合金</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31 黑色金属冶炼和压延加工业中的314 铁合金冶炼</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6114-2023锰矿行业绿色工厂评价导则</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6095-2023铁矿行业绿色工厂评价导则</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6092-2023热轧带肋钢筋绿色工厂评价要求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6091-2023桥梁缆索企业绿色工厂评价要求</w:t>
            </w:r>
          </w:p>
          <w:p>
            <w:pPr>
              <w:rPr>
                <w:rFonts w:hint="default"/>
              </w:rPr>
            </w:pPr>
            <w:r>
              <w:rPr>
                <w:rFonts w:hint="default" w:ascii="Times New Roman" w:hAnsi="Times New Roman" w:eastAsia="仿宋_GB2312" w:cs="Times New Roman"/>
                <w:b w:val="0"/>
                <w:bCs w:val="0"/>
                <w:i w:val="0"/>
                <w:iCs w:val="0"/>
                <w:color w:val="auto"/>
                <w:sz w:val="22"/>
                <w:szCs w:val="22"/>
                <w:highlight w:val="none"/>
                <w:u w:val="none"/>
              </w:rPr>
              <w:t>YB/T 6090-2023钢帘线企业绿色工厂评价要求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6077-2022不锈钢焊管企业绿色工厂评价要求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6076-2022冷轧钢带企业绿色工厂评价要求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6075-2022焊接钢管企业绿色工厂评价要求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6069-2022热轧H型钢绿色工厂评价要求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6018-2022铁合金行业绿色工厂评价要求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YB/T 6016-2022球墨铸铁管绿色工厂评价要求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有色</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有色金属冶炼（电解铝等）</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32 有色金属冶炼和压延加工业中的321-323中类企业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1403-2020 有色金属冶炼业绿色工厂评价导则</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1419-2021 电解铝行业绿色工厂评价要求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1430-2021 钴冶炼行业绿色工厂评价要求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1429-2021 镍冶炼行业绿色工厂评价要求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1428-2021 锑冶炼行业绿色工厂评价要求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1427-2021 锡冶炼行业绿色工厂评价要求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1408-2021 锌冶炼行业绿色工厂评价要求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1407-2021 铜冶炼行业绿色工厂评价要求</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1406-2021 铅冶炼行业绿色工厂评价要求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有色金属合金制造、有色金属压延加工</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32 有色金属冶炼和压延加工业中的324-325中类企业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YS/T 1425-2021 铜及铜合金加工行业绿色工厂评价导则</w:t>
            </w:r>
          </w:p>
          <w:p>
            <w:pPr>
              <w:pStyle w:val="47"/>
              <w:ind w:left="0" w:leftChars="0" w:firstLine="0" w:firstLineChars="0"/>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YS/T 1590-2022多晶硅行业绿色工厂评价要求</w:t>
            </w:r>
          </w:p>
          <w:p>
            <w:pPr>
              <w:pStyle w:val="47"/>
              <w:ind w:left="0" w:leftChars="0" w:firstLine="0" w:firstLineChars="0"/>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YS/T 1589-2022氧化铝行业绿色工厂评价要求</w:t>
            </w:r>
          </w:p>
          <w:p>
            <w:pPr>
              <w:pStyle w:val="47"/>
              <w:ind w:left="0" w:leftChars="0" w:firstLine="0" w:firstLineChars="0"/>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YS/T 1545-2022铸造铝合金行业绿色工厂评价要求</w:t>
            </w:r>
          </w:p>
          <w:p>
            <w:pPr>
              <w:pStyle w:val="47"/>
              <w:ind w:left="0" w:leftChars="0" w:firstLine="0" w:firstLineChars="0"/>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YS/T 1544-2022钨冶炼行业绿色工厂评价要求</w:t>
            </w:r>
          </w:p>
          <w:p>
            <w:pPr>
              <w:pStyle w:val="47"/>
              <w:ind w:left="0" w:leftChars="0" w:firstLine="0" w:firstLineChars="0"/>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YS/T 1542-2022铜及铜合金棒、型、线材生产绿色工厂评价要求</w:t>
            </w:r>
          </w:p>
          <w:p>
            <w:pPr>
              <w:pStyle w:val="47"/>
              <w:ind w:left="0" w:leftChars="0" w:firstLine="0" w:firstLineChars="0"/>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YS/T 1541-2022铜及铜合金板、带、箔材生产绿色工厂评价要求</w:t>
            </w:r>
          </w:p>
          <w:p>
            <w:pPr>
              <w:pStyle w:val="47"/>
              <w:ind w:left="0" w:leftChars="0" w:firstLine="0" w:firstLineChars="0"/>
              <w:rPr>
                <w:rFonts w:hint="default" w:ascii="Times New Roman" w:hAnsi="Times New Roman" w:cs="Times New Roman"/>
                <w:color w:val="auto"/>
                <w:highlight w:val="none"/>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YS/T 1540-2022铜及铜合金管材生产绿色工厂评价要求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375"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机械</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rPr>
                <w:rFonts w:hint="eastAsia" w:ascii="Times New Roman" w:hAnsi="Times New Roman" w:eastAsia="仿宋_GB2312" w:cs="Times New Roman"/>
                <w:b w:val="0"/>
                <w:bCs w:val="0"/>
                <w:i w:val="0"/>
                <w:iCs w:val="0"/>
                <w:color w:val="auto"/>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JB/T 14408-2023</w:t>
            </w:r>
            <w:r>
              <w:rPr>
                <w:rFonts w:hint="eastAsia" w:ascii="Times New Roman" w:hAnsi="Times New Roman" w:eastAsia="仿宋_GB2312" w:cs="Times New Roman"/>
                <w:b w:val="0"/>
                <w:bCs w:val="0"/>
                <w:i w:val="0"/>
                <w:iCs w:val="0"/>
                <w:color w:val="auto"/>
                <w:kern w:val="2"/>
                <w:sz w:val="22"/>
                <w:szCs w:val="22"/>
                <w:highlight w:val="none"/>
                <w:u w:val="none"/>
                <w:lang w:val="en-US" w:eastAsia="zh-CN" w:bidi="ar-SA"/>
              </w:rPr>
              <w:t xml:space="preserve"> </w:t>
            </w: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铸造行业绿色工厂评价要求</w:t>
            </w:r>
          </w:p>
          <w:p>
            <w:pP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JB/T 14407-2023</w:t>
            </w:r>
            <w:r>
              <w:rPr>
                <w:rFonts w:hint="eastAsia" w:ascii="Times New Roman" w:hAnsi="Times New Roman" w:eastAsia="仿宋_GB2312" w:cs="Times New Roman"/>
                <w:b w:val="0"/>
                <w:bCs w:val="0"/>
                <w:i w:val="0"/>
                <w:iCs w:val="0"/>
                <w:color w:val="auto"/>
                <w:kern w:val="2"/>
                <w:sz w:val="22"/>
                <w:szCs w:val="22"/>
                <w:highlight w:val="none"/>
                <w:u w:val="none"/>
                <w:lang w:val="en-US" w:eastAsia="zh-CN" w:bidi="ar-SA"/>
              </w:rPr>
              <w:t xml:space="preserve"> </w:t>
            </w:r>
            <w:r>
              <w:rPr>
                <w:rFonts w:hint="default" w:ascii="Times New Roman" w:hAnsi="Times New Roman" w:eastAsia="仿宋_GB2312" w:cs="Times New Roman"/>
                <w:b w:val="0"/>
                <w:bCs w:val="0"/>
                <w:i w:val="0"/>
                <w:iCs w:val="0"/>
                <w:color w:val="auto"/>
                <w:kern w:val="2"/>
                <w:sz w:val="22"/>
                <w:szCs w:val="22"/>
                <w:highlight w:val="none"/>
                <w:u w:val="none"/>
                <w:lang w:val="en-US" w:eastAsia="zh-CN" w:bidi="ar-SA"/>
              </w:rPr>
              <w:t>机械行业绿色工厂评价 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375"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金属制品</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33金属制品业</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不包括：338金属制日用品制造；3322手工具制造，3324刀剪及类似日用金属工具制造，</w:t>
            </w:r>
            <w:r>
              <w:rPr>
                <w:rFonts w:hint="eastAsia" w:ascii="Times New Roman" w:hAnsi="Times New Roman" w:eastAsia="仿宋_GB2312" w:cs="Times New Roman"/>
                <w:b w:val="0"/>
                <w:bCs w:val="0"/>
                <w:i w:val="0"/>
                <w:iCs w:val="0"/>
                <w:color w:val="auto"/>
                <w:kern w:val="0"/>
                <w:sz w:val="22"/>
                <w:szCs w:val="22"/>
                <w:highlight w:val="none"/>
                <w:u w:val="none"/>
                <w:lang w:val="en-US" w:eastAsia="zh-CN" w:bidi="ar"/>
              </w:rPr>
              <w:t>3331集装箱制造，</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3351建筑、家具用金属配件制造，3379搪瓷日用品及其他搪瓷制品制造；3399其他未列明金属制品制造小类中武器弹药制造的企业。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CB/T 4523—2022集装箱制造业绿色工厂评价要求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75" w:type="pct"/>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通用设备</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34通用设备制造业</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不包括：3473照相机及器材制造，特种设备目录中的特种设备制造企业。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5" w:type="pct"/>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专用设备</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35专用设备制造业</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不包括：3587眼镜制造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汽车</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36汽车制造业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QC/T 1160-2022汽车行业整车制造绿色工厂评价导则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75" w:type="pct"/>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运输设备</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37铁路、船舶、航空航天和其他运输设备制造业</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不包括：373船舶及相关装置制造，374航空、航天器及设备制造，376自行车和残疾人座车制造。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CB/T 4522—2022船舶行业绿色工厂评价导则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75" w:type="pct"/>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电气机械</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38电气机械和器材制造业</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不包括：384电池制造，385家用电力器具制造，387照明器具制造。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75" w:type="pct"/>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电子通信</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39计算机、通信和其他电子设备制造业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SJ/T 11882-2022液晶面板制造业绿色工厂评价要求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SJ/T 11881-2022微型计算机制造业绿色工厂评价要求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SJ/T 11880-2022发光二极管制造业绿色工厂评价要求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SJ/T 11878-2022电视机制造业绿色工厂评价要求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SJ/T 11877-2022打印机及多功能一体机制造业绿色工厂评价要求</w:t>
            </w:r>
          </w:p>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SJ/T 11744-2019 电子信息制造业绿色工厂评价导则</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YD/T 3838-2021 通信制造业绿色工厂评价细则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5" w:type="pct"/>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仪器仪表</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40仪器仪表制造业</w:t>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br w:type="textWrapping"/>
            </w: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不包括：403钟表与计时仪器制造，405衡器制造。</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375"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其他机械</w:t>
            </w: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43金属制品、机械和设备修理业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综合利用</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42 废弃资源综合利用业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HG/T 6171-2023废弃电子电器化学品处理处置行业绿色工厂评价要求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HG/T 6124-2022废弃锂电池处理处置行业绿色工厂评价要求</w:t>
            </w:r>
          </w:p>
          <w:p>
            <w:pP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sz w:val="22"/>
                <w:szCs w:val="22"/>
                <w:highlight w:val="none"/>
                <w:u w:val="none"/>
              </w:rPr>
              <w:t>HG/T 6125-2022再生胶行业绿色工厂评价导则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其他制造业</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b w:val="0"/>
                <w:bCs w:val="0"/>
                <w:i w:val="0"/>
                <w:iCs w:val="0"/>
                <w:color w:val="auto"/>
                <w:sz w:val="22"/>
                <w:szCs w:val="22"/>
                <w:highlight w:val="none"/>
                <w:u w:val="none"/>
              </w:rPr>
            </w:pPr>
          </w:p>
        </w:tc>
        <w:tc>
          <w:tcPr>
            <w:tcW w:w="1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auto"/>
                <w:sz w:val="22"/>
                <w:szCs w:val="22"/>
                <w:highlight w:val="none"/>
                <w:u w:val="none"/>
              </w:rPr>
            </w:pPr>
            <w:r>
              <w:rPr>
                <w:rFonts w:hint="default" w:ascii="Times New Roman" w:hAnsi="Times New Roman" w:eastAsia="仿宋_GB2312" w:cs="Times New Roman"/>
                <w:b w:val="0"/>
                <w:bCs w:val="0"/>
                <w:i w:val="0"/>
                <w:iCs w:val="0"/>
                <w:color w:val="auto"/>
                <w:kern w:val="0"/>
                <w:sz w:val="22"/>
                <w:szCs w:val="22"/>
                <w:highlight w:val="none"/>
                <w:u w:val="none"/>
                <w:lang w:val="en-US" w:eastAsia="zh-CN" w:bidi="ar"/>
              </w:rPr>
              <w:t>41 其他制造业</w:t>
            </w:r>
          </w:p>
        </w:tc>
        <w:tc>
          <w:tcPr>
            <w:tcW w:w="22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b w:val="0"/>
                <w:bCs w:val="0"/>
                <w:i w:val="0"/>
                <w:iCs w:val="0"/>
                <w:color w:val="auto"/>
                <w:sz w:val="22"/>
                <w:szCs w:val="22"/>
                <w:highlight w:val="none"/>
                <w:u w:val="none"/>
              </w:rPr>
            </w:pPr>
          </w:p>
        </w:tc>
      </w:tr>
    </w:tbl>
    <w:p>
      <w:pPr>
        <w:bidi w:val="0"/>
        <w:rPr>
          <w:rFonts w:hint="default" w:ascii="Times New Roman" w:hAnsi="Times New Roman" w:cs="Times New Roman"/>
          <w:color w:val="auto"/>
          <w:highlight w:val="none"/>
          <w:lang w:val="en-US" w:eastAsia="zh-CN"/>
        </w:rPr>
      </w:pPr>
    </w:p>
    <w:p>
      <w:pPr>
        <w:pStyle w:val="47"/>
        <w:ind w:left="0" w:leftChars="0" w:firstLine="440" w:firstLineChars="200"/>
        <w:rPr>
          <w:rFonts w:hint="default" w:ascii="Times New Roman" w:hAnsi="Times New Roman" w:eastAsia="仿宋_GB2312" w:cs="Times New Roman"/>
          <w:i w:val="0"/>
          <w:iCs w:val="0"/>
          <w:color w:val="auto"/>
          <w:kern w:val="0"/>
          <w:sz w:val="22"/>
          <w:szCs w:val="22"/>
          <w:highlight w:val="none"/>
          <w:u w:val="none"/>
          <w:lang w:val="en-US" w:eastAsia="zh-CN" w:bidi="ar"/>
        </w:rPr>
      </w:pPr>
      <w:r>
        <w:rPr>
          <w:rFonts w:hint="default" w:ascii="Times New Roman" w:hAnsi="Times New Roman" w:eastAsia="仿宋_GB2312" w:cs="Times New Roman"/>
          <w:i w:val="0"/>
          <w:iCs w:val="0"/>
          <w:color w:val="auto"/>
          <w:kern w:val="0"/>
          <w:sz w:val="22"/>
          <w:szCs w:val="22"/>
          <w:highlight w:val="none"/>
          <w:u w:val="none"/>
          <w:lang w:val="en-US" w:eastAsia="zh-CN" w:bidi="ar"/>
        </w:rPr>
        <w:t>说明：本表中行业分类为参考性分类；具体开展绿色制造评价时，以相关标准提出的适用范围为准。</w:t>
      </w:r>
    </w:p>
    <w:p>
      <w:pPr>
        <w:pStyle w:val="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 绿色工厂评价标准（团体标准，参考）</w:t>
      </w:r>
    </w:p>
    <w:tbl>
      <w:tblPr>
        <w:tblStyle w:val="37"/>
        <w:tblW w:w="1408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3324"/>
        <w:gridCol w:w="2397"/>
        <w:gridCol w:w="5779"/>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等线" w:eastAsia="仿宋_GB2312" w:cs="仿宋_GB2312"/>
                <w:b/>
                <w:bCs/>
                <w:i w:val="0"/>
                <w:iCs w:val="0"/>
                <w:color w:val="auto"/>
                <w:sz w:val="22"/>
                <w:szCs w:val="22"/>
                <w:u w:val="none"/>
              </w:rPr>
            </w:pPr>
            <w:r>
              <w:rPr>
                <w:rFonts w:hint="eastAsia" w:ascii="仿宋_GB2312" w:hAnsi="等线" w:eastAsia="仿宋_GB2312" w:cs="仿宋_GB2312"/>
                <w:b/>
                <w:bCs/>
                <w:i w:val="0"/>
                <w:iCs w:val="0"/>
                <w:color w:val="auto"/>
                <w:kern w:val="0"/>
                <w:sz w:val="22"/>
                <w:szCs w:val="22"/>
                <w:u w:val="none"/>
                <w:lang w:val="en-US" w:eastAsia="zh-CN" w:bidi="ar"/>
              </w:rPr>
              <w:t>序号</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auto"/>
                <w:sz w:val="22"/>
                <w:szCs w:val="22"/>
                <w:u w:val="none"/>
              </w:rPr>
            </w:pPr>
            <w:r>
              <w:rPr>
                <w:rFonts w:hint="eastAsia" w:ascii="仿宋_GB2312" w:hAnsi="等线" w:eastAsia="仿宋_GB2312" w:cs="仿宋_GB2312"/>
                <w:b/>
                <w:bCs/>
                <w:i w:val="0"/>
                <w:iCs w:val="0"/>
                <w:color w:val="auto"/>
                <w:kern w:val="0"/>
                <w:sz w:val="22"/>
                <w:szCs w:val="22"/>
                <w:u w:val="none"/>
                <w:lang w:val="en-US" w:eastAsia="zh-CN" w:bidi="ar"/>
              </w:rPr>
              <w:t>团体名称</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auto"/>
                <w:sz w:val="22"/>
                <w:szCs w:val="22"/>
                <w:u w:val="none"/>
              </w:rPr>
            </w:pPr>
            <w:r>
              <w:rPr>
                <w:rFonts w:hint="eastAsia" w:ascii="仿宋_GB2312" w:hAnsi="等线" w:eastAsia="仿宋_GB2312" w:cs="仿宋_GB2312"/>
                <w:b/>
                <w:bCs/>
                <w:i w:val="0"/>
                <w:iCs w:val="0"/>
                <w:color w:val="auto"/>
                <w:kern w:val="0"/>
                <w:sz w:val="22"/>
                <w:szCs w:val="22"/>
                <w:u w:val="none"/>
                <w:lang w:val="en-US" w:eastAsia="zh-CN" w:bidi="ar"/>
              </w:rPr>
              <w:t>标准编号</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auto"/>
                <w:sz w:val="22"/>
                <w:szCs w:val="22"/>
                <w:u w:val="none"/>
              </w:rPr>
            </w:pPr>
            <w:r>
              <w:rPr>
                <w:rFonts w:hint="eastAsia" w:ascii="仿宋_GB2312" w:hAnsi="等线" w:eastAsia="仿宋_GB2312" w:cs="仿宋_GB2312"/>
                <w:b/>
                <w:bCs/>
                <w:i w:val="0"/>
                <w:iCs w:val="0"/>
                <w:color w:val="auto"/>
                <w:kern w:val="0"/>
                <w:sz w:val="22"/>
                <w:szCs w:val="22"/>
                <w:u w:val="none"/>
                <w:lang w:val="en-US" w:eastAsia="zh-CN" w:bidi="ar"/>
              </w:rPr>
              <w:t>标准名称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auto"/>
                <w:sz w:val="22"/>
                <w:szCs w:val="22"/>
                <w:u w:val="none"/>
              </w:rPr>
            </w:pPr>
            <w:r>
              <w:rPr>
                <w:rFonts w:hint="eastAsia" w:ascii="仿宋_GB2312" w:hAnsi="等线" w:eastAsia="仿宋_GB2312" w:cs="仿宋_GB2312"/>
                <w:b/>
                <w:bCs/>
                <w:i w:val="0"/>
                <w:iCs w:val="0"/>
                <w:color w:val="auto"/>
                <w:kern w:val="0"/>
                <w:sz w:val="22"/>
                <w:szCs w:val="22"/>
                <w:u w:val="none"/>
                <w:lang w:val="en-US" w:eastAsia="zh-CN" w:bidi="ar"/>
              </w:rPr>
              <w:t>公布日期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T/CBMF 205—2022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建筑门窗行业绿色工厂评价要求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淄博市质量协会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T/ZBZLXH 002—2024</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新材料行业绿色工厂评价规范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T/CPCIF 0309—2023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塑料机械行业绿色工厂评价要求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河南省能效技术协会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T/HNEE 003—2023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建筑用预制构件行业绿色工厂评价要求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0122—2023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制糖行业绿色工厂评价导则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0118—2023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制浆造纸行业绿色工厂评价导则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0115—2023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厨卫五金制造业绿色工厂评价要求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中国口腔清洁护理用品工业协会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T/COCIA 28—2024</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口腔清洁护理用品行业绿色工厂评价要求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辽宁省建筑节能环保协会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T/LJH 029—2024</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铸造泵阀行业绿色工厂评价规范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T/CNTAC 185—2023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循环再利用涤纶行业绿色工厂评价要求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T/CNTAC 184—2023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化纤印染行业绿色工厂评价要求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T/CNTAC 183—2023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棉印染行业绿色工厂评价要求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368—2024</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胶粘剂制造行业绿色工厂评价规范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365—2024</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全钒液流电池电解液行业绿色工厂评价要求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T/CBMF 204—2022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地坪行业绿色工厂评价要求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T/CBMF 203—2022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建筑遮阳行业绿色工厂评价要求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2024/1/15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T/CPCIF 0290—2023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硼酸、硼砂行业绿色工厂评价要求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T/CPCIF 0289—2023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丁苯橡胶行业绿色工厂评价要求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19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T/CPCIF 0288—2023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橡胶机械行业绿色工厂评价要求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T/CPCIF 0287—2023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环氧氯丙烷行业绿色工厂评价要求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中国电子节能技术协会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T/DZJN 172—2023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锂电池隔膜企业绿色工厂评价要求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2023/12/12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中国机电产品流通协会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T/CMEPCA 013—2023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机电行业绿色工厂评价要求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2023/11/27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山东省装备制造业协会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T/SDZBZZ 009—2022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装备制造业绿色工厂评价指南</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2023/11/15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中国电子节能技术协会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T/DZJN 187—2023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废旧锂电池材料再生绿色工厂评价指南</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中国包装联合会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T/CPF 0058—2023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标签材料行业绿色工厂评价要求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中国混凝土与水泥制品协会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T/CCPA 39—2023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固废制备轻骨料绿色工厂设计规范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T/CBMF 156—2021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人造板行业绿色工厂评价要求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0094—2023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涂覆镀锡或镀铬薄钢板制造业 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0093—2023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镀锡或镀铬薄钢板全开式易开盖制造业绿色工厂评价要求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0092—2023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食品容器用镀锡或镀铬薄钢板螺纹旋开盖制造业绿色工厂评价要求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0086—2023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塑料制品着色剂制造业 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0083—2023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爪式旋开盖制造业绿色工厂评价要求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0082—2023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水产类罐头制造业绿色工厂评价要求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0081—2023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果蔬类罐头制造业绿色工厂评价要求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T/CBMF 162—2021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石灰行业绿色工厂评价要求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中国有色金属工业协会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T/CNIA 0158—2022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镁及镁合金加工行业绿色工厂评价导则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中国有色金属工业协会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T/CNIA 0157—2022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铝及铝合金加工行业绿色工厂评价导则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160—2023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食用植物油行业绿色工厂评价规范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39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140—2023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电解锰行业绿色工厂评价规范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139—2023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阀门制造行业绿色工厂评价规范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138—2023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蓝宝石材料制造加工行业绿色工厂评价规范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137—2023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服装行业绿色工厂评价规范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136—2023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仪器仪表行业绿色工厂评价规范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135—2023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化工专用设备制造行业绿色工厂评价规范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134—2023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工业烟气治理行业绿色工厂评价规范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T/CBMF 161—2021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卫浴五金行业绿色工厂评价要求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T/CBMF 155—2021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硅藻泥装饰壁材行业绿色工厂评价要求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中国有色金属工业协会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T/CNIA 0159—2022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锂盐加工行业绿色工厂评价要求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49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T/CIET 103—2023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电解铜箔行业绿色工厂评价要求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50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T/CNLIC 0064—2022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手动牙刷制造业绿色工厂评价要求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51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T/CPCIF 0236—2023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有机玻璃板材行业绿色工厂评价要求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52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T/CPCIF 0235—2023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聚氯乙烯行业绿色工厂评价要求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auto"/>
                <w:sz w:val="22"/>
                <w:szCs w:val="22"/>
                <w:u w:val="none"/>
              </w:rPr>
            </w:pPr>
            <w:r>
              <w:rPr>
                <w:rFonts w:hint="eastAsia" w:ascii="仿宋_GB2312" w:hAnsi="等线" w:eastAsia="仿宋_GB2312" w:cs="仿宋_GB2312"/>
                <w:i w:val="0"/>
                <w:iCs w:val="0"/>
                <w:color w:val="auto"/>
                <w:kern w:val="0"/>
                <w:sz w:val="22"/>
                <w:szCs w:val="22"/>
                <w:u w:val="none"/>
                <w:lang w:val="en-US" w:eastAsia="zh-CN" w:bidi="ar"/>
              </w:rPr>
              <w:t>2023/5/19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53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061—2023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照明电器工业绿色工厂评价规范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54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062—2023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饲料添加剂行业绿色工厂评价规范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55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063—2023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氢燃料电池行业绿色工厂评价规范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56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064—2023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印刷行业（纸制品）绿色工厂评价规范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57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049—2023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新能源汽车行业绿色工厂评价规范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58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048—2023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新能源汽车废旧动力蓄电池综合利用行业绿色工厂评价规范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59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041—2023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饲料行业绿色工厂评价规范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052—2023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氯化钾行业绿色工厂评价要求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中国国际经济技术合作促进会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T/CIET 040—2023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铝冶炼行业绿色工厂评价规范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中国通信标准化协会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T/CCSA 308—2021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电子纸制造业绿色工厂评价要求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T/CNTAC 144—2023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粘胶纤维行业绿色工厂评价要求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T/CNTAC 143—2023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聚酯和涤纶行业绿色工厂评价要求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T/CNTAC 142—2023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锦纶6行业绿色工厂评价要求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T/CNTAC 141—2023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氨纶行业绿色工厂评价要求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昆山市高分子材料质量与标准化协会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T/AQSPMK 0009—2023</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塑料制品着色剂制造业 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0234—2022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硅酸盐行业绿色工厂评价要求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69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0233—2022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压敏胶粘剂及其制品行业绿色工厂评价要求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中国电器工业协会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T/CEEIA 634—2022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风电装备制造业 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中国电器工业协会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T/CEEIA 633—2022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风电装备制造业 绿色工厂建设规范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2023/2/13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武汉电气行业协会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T/WHDQHX 005—2022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电气成套设备制造业绿色工厂评价导则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2022/11/14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四川省机械工业联合会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T/SCMII 2—2022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机械制造行业绿色工厂评价导则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四川省机械工业联合会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T/SCMII 002—2022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机械制造行业绿色工厂评价导则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0216—2022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废酸处理处置行业绿色工厂评价要求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0215—2022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锶盐行业绿色工厂评价要求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0214—2022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铬盐行业绿色工厂评价要求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河南省食品科学技术学会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T/HNSPXH 006—2020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小麦精深加工绿色工厂评价导则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79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中国中小企业协会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T/CASMES 95—2022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印染行业绿色工厂评价要求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中国电子节能技术协会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T/DZJN 99—2022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质子交换膜燃料电池行业绿色工厂评价要求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中国电子节能技术协会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T/DZJN 96—2022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磷酸铁锂材料企业绿色工厂评价要求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中国电子节能技术协会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T/DZJN 97—2022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锂离子电池电解液企业绿色工厂评价要求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中国电子质量管理协会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T/CQAE 16002—2020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航天产品制造业绿色工厂评价导则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T/CNLIC 0057—2022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空调制造业绿色工厂评价要求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中国轻工业联合会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T/CNLIC 0056—2022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家用电器行业绿色工厂评价导则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中关村材料试验技术联盟</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T/CSTM 00501—2022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光伏逆变器制造业绿色工厂评价要求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0201—2022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聚丙烯热塑性弹性体绿色工厂评价要求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T/CBMF 111-2021/T/CNMMIA011—2021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非金属矿行业绿色工厂评价要求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89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中国电子节能技术协会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T/DZJN 68—2021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三元材料企业绿色工厂评价要求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佛山市高新技术应用研究会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T/FSYY 0058—2021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废锂电池综合利用企业绿色工厂评价要求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中国电子节能技术协会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T/DZJN 74—2022</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锂离子电池负极材料企业绿色工厂评价要求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2022/1/14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中国宇航学会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T/YH 7012—2021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航天行业绿色工厂评价导则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T/CNTAC 85—2021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棉纺织行业绿色工厂评价要求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0146—2021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水性工业涂料绿色工厂评价要求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028—2021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印染行业绿色工厂评价规范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021—2021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工业废水处理设备行业绿色工厂评价规范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011—2021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农用机械行业绿色工厂评价规范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中国电子节能技术协会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T/DZJN 55—2021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动力锂离子电池回收利用企业绿色工厂评价要求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99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023—2021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包装行业绿色工厂评价规范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013—2021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乳制品工业绿色工厂评价规范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012—2021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造纸行业绿色工厂评价规范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010—2021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农药工业绿色工厂评价规范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009—2021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酿酒工业绿色工厂评价规范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004—2021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化学纤维工业绿色工厂评价规范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003—2021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家具行业绿色工厂评价规范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002—2021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家电行业绿色工厂评价规范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中国工业合作协会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T/CIC 001—2021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电池行业绿色工厂评价规范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中国电器工业协会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T/CEEIA 537—2021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绿色工厂评价导则 工业锅炉制造工厂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109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中国机械工程学会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T/CMES 01003—2021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铸造行业绿色工厂评价导则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中国光伏行业协会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T/CPIA 0026—2020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光伏组件制造业绿色工厂评价要求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中国光伏行业协会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T/CPIA 0025—2020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光伏电池制造业绿色工厂评价要求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中国电器工业协会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T/CEEIA 506—2021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锂离子电池正极材料绿色工厂评价要求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0107—2021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乙二醇行业绿色工厂评价要求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0106—2021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再生橡胶行业绿色工厂评价要求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0105—2021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腐植酸肥料绿色工厂评价导则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0104—2021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合成树脂制造业绿色工厂评价导则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0103—2021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废锂电池处理处置行业绿色工厂评价要求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0102—2021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氢氧化钠（烧碱）行业绿色工厂评价要求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119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0100—2021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染料行业绿色工厂评价导则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0099—2021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电石行业绿色工厂评价要求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中国石油和化学工业联合会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T/CPCIF 0098—2021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有机硅行业绿色工厂评价要求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广东省电源行业协会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T/GDDY 006—2021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电源制造业绿色工厂评价导则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上海市铸造行业协会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T/SFA 001—2021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熔模铸造绿色工厂评价要求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广东省节能减排标准化促进会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T/GDES 53—2021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凉茶植物饮料行业绿色工厂评价指南</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广东省节能减排标准化促进会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T/GDES 52—2021</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凉茶植物饮料行业绿色工厂评价导则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中国工业节能与清洁生产协会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T/CIECCPA 002—2020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轨道交通装备制造业绿色工厂 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2021/1/20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中国橡胶工业协会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T/CRIA 22007—2020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轮胎模具行业绿色工厂评价要求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2020/12/29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中国特钢企业协会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T/SSEA 0091—2020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焊接钢管企业绿色工厂评价要求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129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中国特钢企业协会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T/SSEA 0090—2020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冷轧钢带企业绿色工厂评价要求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湖南省涂料工业协会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T/HNTL 0002—2020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水性工业涂料</w:t>
            </w:r>
            <w:r>
              <w:rPr>
                <w:rFonts w:ascii="微软雅黑" w:hAnsi="微软雅黑" w:eastAsia="微软雅黑" w:cs="微软雅黑"/>
                <w:i w:val="0"/>
                <w:iCs w:val="0"/>
                <w:color w:val="000000"/>
                <w:kern w:val="0"/>
                <w:sz w:val="22"/>
                <w:szCs w:val="22"/>
                <w:u w:val="none"/>
                <w:lang w:val="en-US" w:eastAsia="zh-CN" w:bidi="ar"/>
              </w:rPr>
              <w:t>•</w:t>
            </w:r>
            <w:r>
              <w:rPr>
                <w:rFonts w:hint="eastAsia" w:ascii="仿宋_GB2312" w:hAnsi="等线" w:eastAsia="仿宋_GB2312" w:cs="仿宋_GB2312"/>
                <w:i w:val="0"/>
                <w:iCs w:val="0"/>
                <w:color w:val="000000"/>
                <w:kern w:val="0"/>
                <w:sz w:val="22"/>
                <w:szCs w:val="22"/>
                <w:u w:val="none"/>
                <w:lang w:val="en-US" w:eastAsia="zh-CN" w:bidi="ar"/>
              </w:rPr>
              <w:t>绿色工厂技术规范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1097—2020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不间断电源制造业绿色工厂评价要求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1096—2020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LED灯制造业绿色工厂评价要求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1095—2020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鼓粉盒制造业绿色工厂评价要求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1094—2020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监视器制造业绿色工厂评价要求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1093—2020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投影机制造业绿色工厂评价要求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1092—2020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碳纳米管制造业绿色工厂评价要求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1091—2020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玻璃基板制造业绿色工厂评价要求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1090—2020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电视机制造业绿色工厂评价要求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139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1088—2020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微型计算机制造业绿色工厂评价要求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1087—2020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闪存产品制造业绿色工厂评价要求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1086—2020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液晶面板制造业绿色工厂评价要求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1085—2020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家居智能控制器制造业绿色工厂评价要求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1084—2020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发光二极管制造业绿色工厂评价要求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1083—2020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铝电解电容器制造业绿色工厂评价要求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1082—2020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多晶硅制造业绿色工厂评价要求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1081—2020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半导体集成电路制造业 晶圆 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中国电子工业标准化技术协会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T/CESA 1080—2020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动力锂离子蓄电池制造业绿色工厂评价要求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中国表面工程协会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T/CSEA 13—2020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批量热镀锌行业绿色工厂评价导则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149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广东省节能减排标准化促进会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T/GDES 42—2020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液晶电视制造业绿色工厂评价导则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中国产学研合作促进会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T/CAB 2020—2019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漆包绕组线行业绿色工厂评价要求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中国产学研合作促进会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T/CAB 2019—2019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无缝不锈钢管行业绿色工厂评价要求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中国产学研合作促进会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T/CAB 2018—2019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涤纶长丝织物行业印染绿色工厂评价要求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中国光伏行业协会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T/CPIA 0022—2020</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光伏硅片制造业绿色工厂评价要求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中国生物发酵产业协会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T/CBFIA 04003—2019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氨基酸行业绿色工厂评价要求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155</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中国铸造协会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T/CFA 0308054.1—2019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铸造绿色工厂 第1部分 ：通用要求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2020/2/27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156</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广东省节能减排标准化促进会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T/GDES 32—2019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印制电路板制造业绿色工厂评价指南</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157</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广东省节能减排标准化促进会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T/GDES 31—2019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铝挤压型材制造业绿色工厂评价导则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158</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中国建筑材料联合会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T/CBMF 59—2019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预拌砂浆行业绿色工厂评价要求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2019/7/26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159</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中国电器工业协会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T/CEEIA 351—2019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绿色工厂评价技术要求 铅酸蓄电池</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2019/7/11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160</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中国纺织工业联合会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T/CNTAC 36—2019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纺织行业绿色工厂评价导则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2019/4/30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161</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广东省节能减排标准化促进会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T/GDES 28—2019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家用电器制造业绿色工厂评价导则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162</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中国淀粉工业协会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T/SIACN 02—2019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淀粉行业绿色工厂评价要求</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2019/3/28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163</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广东省节能减排标准化促进会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T/GDES 24—2019</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日化行业（肥皂及洗涤剂）绿色工厂评价导则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2019/3/12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164</w:t>
            </w:r>
          </w:p>
        </w:tc>
        <w:tc>
          <w:tcPr>
            <w:tcW w:w="33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广东省节能减排标准化促进会</w:t>
            </w:r>
          </w:p>
        </w:tc>
        <w:tc>
          <w:tcPr>
            <w:tcW w:w="2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T/GDES 20—2018</w:t>
            </w:r>
          </w:p>
        </w:tc>
        <w:tc>
          <w:tcPr>
            <w:tcW w:w="5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印制电路板制造业绿色工厂评价导则</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2"/>
                <w:szCs w:val="22"/>
                <w:u w:val="none"/>
              </w:rPr>
            </w:pPr>
            <w:r>
              <w:rPr>
                <w:rFonts w:hint="eastAsia" w:ascii="仿宋_GB2312" w:hAnsi="等线" w:eastAsia="仿宋_GB2312" w:cs="仿宋_GB2312"/>
                <w:i w:val="0"/>
                <w:iCs w:val="0"/>
                <w:color w:val="000000"/>
                <w:kern w:val="0"/>
                <w:sz w:val="22"/>
                <w:szCs w:val="22"/>
                <w:u w:val="none"/>
                <w:lang w:val="en-US" w:eastAsia="zh-CN" w:bidi="ar"/>
              </w:rPr>
              <w:t>2018/11/1</w:t>
            </w:r>
          </w:p>
        </w:tc>
      </w:tr>
    </w:tbl>
    <w:p>
      <w:pPr>
        <w:pStyle w:val="5"/>
        <w:bidi w:val="0"/>
        <w:outlineLvl w:val="1"/>
        <w:rPr>
          <w:rFonts w:hint="default" w:ascii="Times New Roman" w:hAnsi="Times New Roman" w:eastAsia="楷体" w:cs="Times New Roman"/>
          <w:b w:val="0"/>
          <w:bCs w:val="0"/>
          <w:color w:val="auto"/>
          <w:sz w:val="32"/>
          <w:szCs w:val="36"/>
          <w:highlight w:val="none"/>
          <w:lang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bookmarkStart w:id="21" w:name="_Toc1862"/>
      <w:bookmarkStart w:id="22" w:name="_Toc29564"/>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eastAsia="zh-CN"/>
        </w:rPr>
      </w:pPr>
      <w:r>
        <w:rPr>
          <w:rFonts w:hint="default" w:ascii="Times New Roman" w:hAnsi="Times New Roman" w:eastAsia="楷体" w:cs="Times New Roman"/>
          <w:b w:val="0"/>
          <w:bCs w:val="0"/>
          <w:color w:val="auto"/>
          <w:sz w:val="32"/>
          <w:szCs w:val="36"/>
          <w:highlight w:val="none"/>
          <w:lang w:eastAsia="zh-CN"/>
        </w:rPr>
        <w:t>（</w:t>
      </w:r>
      <w:r>
        <w:rPr>
          <w:rFonts w:hint="default" w:ascii="Times New Roman" w:hAnsi="Times New Roman" w:eastAsia="楷体" w:cs="Times New Roman"/>
          <w:b w:val="0"/>
          <w:bCs w:val="0"/>
          <w:color w:val="auto"/>
          <w:sz w:val="32"/>
          <w:szCs w:val="36"/>
          <w:highlight w:val="none"/>
          <w:lang w:val="en-US" w:eastAsia="zh-CN"/>
        </w:rPr>
        <w:t>四</w:t>
      </w:r>
      <w:r>
        <w:rPr>
          <w:rFonts w:hint="default" w:ascii="Times New Roman" w:hAnsi="Times New Roman" w:eastAsia="楷体" w:cs="Times New Roman"/>
          <w:b w:val="0"/>
          <w:bCs w:val="0"/>
          <w:color w:val="auto"/>
          <w:sz w:val="32"/>
          <w:szCs w:val="36"/>
          <w:highlight w:val="none"/>
          <w:lang w:eastAsia="zh-CN"/>
        </w:rPr>
        <w:t>）评价指标</w:t>
      </w:r>
      <w:bookmarkEnd w:id="21"/>
      <w:bookmarkEnd w:id="22"/>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绿色工厂应在保证产品功能、质量以及制造过程中员工职业健康安全的前提下，引入生命周期思想，满足基础设施、管理体系、能源与资源投入、产品、环境排放、环境绩效的综合评价要求。绿色工厂评价</w:t>
      </w:r>
      <w:r>
        <w:rPr>
          <w:rFonts w:hint="default" w:ascii="Times New Roman" w:hAnsi="Times New Roman" w:eastAsia="仿宋_GB2312" w:cs="Times New Roman"/>
          <w:color w:val="auto"/>
          <w:kern w:val="0"/>
          <w:sz w:val="32"/>
          <w:szCs w:val="32"/>
          <w:highlight w:val="none"/>
          <w:lang w:val="en-US" w:eastAsia="zh-CN"/>
        </w:rPr>
        <w:t>体系</w:t>
      </w:r>
      <w:r>
        <w:rPr>
          <w:rFonts w:hint="default" w:ascii="Times New Roman" w:hAnsi="Times New Roman" w:eastAsia="仿宋_GB2312" w:cs="Times New Roman"/>
          <w:color w:val="auto"/>
          <w:kern w:val="0"/>
          <w:sz w:val="32"/>
          <w:szCs w:val="32"/>
          <w:highlight w:val="none"/>
        </w:rPr>
        <w:t>框架如</w:t>
      </w:r>
      <w:r>
        <w:rPr>
          <w:rFonts w:hint="default" w:ascii="Times New Roman" w:hAnsi="Times New Roman" w:eastAsia="仿宋_GB2312" w:cs="Times New Roman"/>
          <w:color w:val="auto"/>
          <w:kern w:val="0"/>
          <w:sz w:val="32"/>
          <w:szCs w:val="32"/>
          <w:highlight w:val="none"/>
          <w:lang w:val="en-US" w:eastAsia="zh-CN"/>
        </w:rPr>
        <w:t>下</w:t>
      </w:r>
      <w:r>
        <w:rPr>
          <w:rFonts w:hint="default" w:ascii="Times New Roman" w:hAnsi="Times New Roman" w:eastAsia="仿宋_GB2312" w:cs="Times New Roman"/>
          <w:color w:val="auto"/>
          <w:kern w:val="0"/>
          <w:sz w:val="32"/>
          <w:szCs w:val="32"/>
          <w:highlight w:val="none"/>
        </w:rPr>
        <w:t>图所示。</w:t>
      </w:r>
    </w:p>
    <w:p>
      <w:pPr>
        <w:bidi w:val="0"/>
        <w:jc w:val="center"/>
        <w:rPr>
          <w:rFonts w:hint="default" w:ascii="Times New Roman" w:hAnsi="Times New Roman" w:eastAsia="黑体" w:cs="Times New Roman"/>
          <w:color w:val="auto"/>
          <w:sz w:val="30"/>
          <w:szCs w:val="30"/>
          <w:highlight w:val="none"/>
        </w:rPr>
      </w:pPr>
      <w:r>
        <w:rPr>
          <w:rFonts w:hint="default" w:ascii="Times New Roman" w:hAnsi="Times New Roman" w:cs="Times New Roman" w:eastAsiaTheme="minorEastAsia"/>
          <w:color w:val="auto"/>
          <w:highlight w:val="none"/>
          <w:lang w:eastAsia="zh-CN"/>
        </w:rPr>
        <w:drawing>
          <wp:inline distT="0" distB="0" distL="114300" distR="114300">
            <wp:extent cx="4260215" cy="2383790"/>
            <wp:effectExtent l="0" t="0" r="6985" b="16510"/>
            <wp:docPr id="10" name="图片 10"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_00"/>
                    <pic:cNvPicPr>
                      <a:picLocks noChangeAspect="1"/>
                    </pic:cNvPicPr>
                  </pic:nvPicPr>
                  <pic:blipFill>
                    <a:blip r:embed="rId13"/>
                    <a:stretch>
                      <a:fillRect/>
                    </a:stretch>
                  </pic:blipFill>
                  <pic:spPr>
                    <a:xfrm>
                      <a:off x="0" y="0"/>
                      <a:ext cx="4260215" cy="2383790"/>
                    </a:xfrm>
                    <a:prstGeom prst="rect">
                      <a:avLst/>
                    </a:prstGeom>
                  </pic:spPr>
                </pic:pic>
              </a:graphicData>
            </a:graphic>
          </wp:inline>
        </w:drawing>
      </w:r>
    </w:p>
    <w:p>
      <w:pPr>
        <w:pStyle w:val="8"/>
        <w:bidi w:val="0"/>
        <w:jc w:val="center"/>
        <w:rPr>
          <w:rFonts w:hint="default" w:ascii="Times New Roman" w:hAnsi="Times New Roman" w:eastAsia="仿宋_GB2312" w:cs="Times New Roman"/>
          <w:color w:val="auto"/>
          <w:kern w:val="0"/>
          <w:sz w:val="32"/>
          <w:szCs w:val="32"/>
          <w:highlight w:val="none"/>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绿色工厂评价</w:t>
      </w:r>
      <w:r>
        <w:rPr>
          <w:rFonts w:hint="default" w:ascii="Times New Roman" w:hAnsi="Times New Roman" w:cs="Times New Roman"/>
          <w:color w:val="auto"/>
          <w:highlight w:val="none"/>
          <w:lang w:val="en-US" w:eastAsia="zh-CN"/>
        </w:rPr>
        <w:t>体系</w:t>
      </w:r>
      <w:r>
        <w:rPr>
          <w:rFonts w:hint="default" w:ascii="Times New Roman" w:hAnsi="Times New Roman" w:cs="Times New Roman"/>
          <w:color w:val="auto"/>
          <w:highlight w:val="none"/>
        </w:rPr>
        <w:t>框架</w:t>
      </w:r>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rPr>
        <w:t>绿色工厂评价指标分为一级指标和二级指标，一级指标包括，基础设施、管理体系、能源资源投入、产品、环境排放和绩效等六个方面，二级指标分为必选要求和可选要求。必选要求是绿色工厂评价</w:t>
      </w:r>
      <w:r>
        <w:rPr>
          <w:rFonts w:hint="default" w:ascii="Times New Roman" w:hAnsi="Times New Roman" w:eastAsia="仿宋_GB2312" w:cs="Times New Roman"/>
          <w:color w:val="auto"/>
          <w:kern w:val="0"/>
          <w:sz w:val="32"/>
          <w:szCs w:val="32"/>
          <w:highlight w:val="none"/>
          <w:lang w:val="en-US" w:eastAsia="zh-CN"/>
        </w:rPr>
        <w:t>的必要</w:t>
      </w:r>
      <w:r>
        <w:rPr>
          <w:rFonts w:hint="default" w:ascii="Times New Roman" w:hAnsi="Times New Roman" w:eastAsia="仿宋_GB2312" w:cs="Times New Roman"/>
          <w:color w:val="auto"/>
          <w:kern w:val="0"/>
          <w:sz w:val="32"/>
          <w:szCs w:val="32"/>
          <w:highlight w:val="none"/>
        </w:rPr>
        <w:t>要求，可选要求是绿色工厂创建的参考目标和鼓励目标。</w:t>
      </w:r>
      <w:r>
        <w:rPr>
          <w:rFonts w:hint="default" w:ascii="Times New Roman" w:hAnsi="Times New Roman" w:eastAsia="仿宋_GB2312" w:cs="Times New Roman"/>
          <w:color w:val="auto"/>
          <w:kern w:val="0"/>
          <w:sz w:val="32"/>
          <w:szCs w:val="32"/>
          <w:highlight w:val="none"/>
          <w:lang w:val="en-US" w:eastAsia="zh-CN"/>
        </w:rPr>
        <w:t>具体指标详见附件1。</w:t>
      </w:r>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评价时，绿色工厂评价指标可参考下表中的相关文件。</w:t>
      </w:r>
    </w:p>
    <w:p>
      <w:pPr>
        <w:pStyle w:val="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 绿色工厂评价指标参考文件</w:t>
      </w:r>
    </w:p>
    <w:tbl>
      <w:tblPr>
        <w:tblStyle w:val="3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850"/>
        <w:gridCol w:w="850"/>
        <w:gridCol w:w="2790"/>
        <w:gridCol w:w="3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bidi="ar"/>
              </w:rPr>
              <w:t>序号</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一级指标</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二级指标</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具体评价要求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评价内容参考标准及相关文件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基础设施</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建筑</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工厂的建筑应满足国家或地方相关法律法规及标准的要求。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GB/T50378-2019 绿色建筑评价标准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建筑材料：（1）选用蕴能低、高性能、高耐久性和本地建材，减少建材在全生命周期中的能源消耗；（2）室内装饰装修材料满足国家标准GB 18580～18588和《建筑材料放射性核素限量》GB 6566的要求。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 18580-2017  室内装饰装修材料 人造板及其制品中甲醛释放限量</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GB 18588-2001  混凝土外加剂中释放氨的限量</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GB 6566-2010  建筑材料放射性核素限量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照明</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人工照明应符合GB 50034规定。</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GB50034《建筑照明设计标准》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设备设施</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工厂使用的专用设备应符合产业准入要求，降低能源与资源消耗，减少污染物排放。</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《产业结构调整指导目录（2024年本）》</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《绿色低碳转型产业指导目录（2024年版）》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适用时，工厂使用的通用设备应达到相关标准中能效限定值的强制性要求。已明令禁止生产、使用的和能耗高、效率低的设备应限期淘汰更新。</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相关设备的能效限定值及能效等级（国标）</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高耗能落后机电设备（产品）淘汰目录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工厂应依据GB 17167、GB24789等要求配备、使用和管理能源、水以及其他资源的计量器具和装置。</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 17167-2006  用能单位能源计量器具配备和管理通则</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GB/T 24789-2022</w:t>
            </w:r>
            <w:r>
              <w:rPr>
                <w:rFonts w:hint="eastAsia" w:ascii="Times New Roman" w:hAnsi="Times New Roman" w:eastAsia="仿宋_GB2312" w:cs="Times New Roman"/>
                <w:i w:val="0"/>
                <w:iCs w:val="0"/>
                <w:color w:val="auto"/>
                <w:kern w:val="0"/>
                <w:sz w:val="24"/>
                <w:szCs w:val="24"/>
                <w:highlight w:val="none"/>
                <w:u w:val="none"/>
                <w:lang w:val="en-US" w:eastAsia="zh-CN" w:bidi="ar"/>
              </w:rPr>
              <w:t xml:space="preserve"> </w:t>
            </w:r>
            <w:r>
              <w:rPr>
                <w:rFonts w:hint="default" w:ascii="Times New Roman" w:hAnsi="Times New Roman" w:eastAsia="仿宋_GB2312" w:cs="Times New Roman"/>
                <w:i w:val="0"/>
                <w:iCs w:val="0"/>
                <w:color w:val="auto"/>
                <w:kern w:val="0"/>
                <w:sz w:val="24"/>
                <w:szCs w:val="24"/>
                <w:highlight w:val="none"/>
                <w:u w:val="none"/>
                <w:lang w:val="en-US" w:eastAsia="zh-CN" w:bidi="ar"/>
              </w:rPr>
              <w:t>用水单位水计量器具配备和管理通则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工厂使用的通用用能设备采用了节能型产品或效率高、能耗低、水耗低、物耗低的产品。</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国家工业和信息化领域节能技术装备推荐目录（2022年版）</w:t>
            </w:r>
          </w:p>
          <w:p>
            <w:pPr>
              <w:pStyle w:val="2"/>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国家工业节能技术装备推荐目录（2020）</w:t>
            </w:r>
          </w:p>
          <w:p>
            <w:pPr>
              <w:pStyle w:val="2"/>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国家工业资源综合利用先进适用工艺技术设备目录（2023年版）</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国家鼓励的工业节水工艺、技术和装备目录（2023年）</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国家绿色低碳先进技术成果目录</w:t>
            </w:r>
          </w:p>
          <w:p>
            <w:pPr>
              <w:pStyle w:val="2"/>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国家清洁生产先进技术目录（2022）</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国家重点推广的低碳技术目录（第四批）</w:t>
            </w:r>
          </w:p>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绿色技术推广目录（2020年）</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“能效之星”装备产品目录（2021）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管理体系</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一般要求</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工厂建立、实施并保持满足 GB/T 19001 的要求的质量管理体系。</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19001-2016 质量管理体系 要求</w:t>
            </w:r>
          </w:p>
          <w:p>
            <w:pPr>
              <w:pStyle w:val="2"/>
              <w:rPr>
                <w:rFonts w:hint="default"/>
                <w:color w:val="auto"/>
              </w:rPr>
            </w:pPr>
            <w:r>
              <w:rPr>
                <w:rFonts w:hint="default" w:ascii="Times New Roman" w:hAnsi="Times New Roman" w:eastAsia="仿宋_GB2312" w:cs="Times New Roman"/>
                <w:i w:val="0"/>
                <w:iCs w:val="0"/>
                <w:color w:val="auto"/>
                <w:kern w:val="0"/>
                <w:sz w:val="24"/>
                <w:szCs w:val="24"/>
                <w:highlight w:val="none"/>
                <w:u w:val="none"/>
                <w:lang w:val="en-US" w:eastAsia="zh-CN" w:bidi="ar"/>
              </w:rPr>
              <w:t>GB/T 19002-2018</w:t>
            </w:r>
            <w:r>
              <w:rPr>
                <w:rFonts w:hint="eastAsia" w:ascii="Times New Roman" w:hAnsi="Times New Roman" w:eastAsia="仿宋_GB2312" w:cs="Times New Roman"/>
                <w:i w:val="0"/>
                <w:iCs w:val="0"/>
                <w:color w:val="auto"/>
                <w:kern w:val="0"/>
                <w:sz w:val="24"/>
                <w:szCs w:val="24"/>
                <w:highlight w:val="none"/>
                <w:u w:val="none"/>
                <w:lang w:val="en-US" w:eastAsia="zh-CN" w:bidi="ar"/>
              </w:rPr>
              <w:t xml:space="preserve"> </w:t>
            </w:r>
            <w:r>
              <w:rPr>
                <w:rFonts w:hint="default" w:ascii="Times New Roman" w:hAnsi="Times New Roman" w:eastAsia="仿宋_GB2312" w:cs="Times New Roman"/>
                <w:i w:val="0"/>
                <w:iCs w:val="0"/>
                <w:color w:val="auto"/>
                <w:kern w:val="0"/>
                <w:sz w:val="24"/>
                <w:szCs w:val="24"/>
                <w:highlight w:val="none"/>
                <w:u w:val="none"/>
                <w:lang w:val="en-US" w:eastAsia="zh-CN" w:bidi="ar"/>
              </w:rPr>
              <w:t>质量管理体系 GB/T 19001—2016应用指南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工厂建立、实施并保持满足 GB/T 45001（代替GB/T 28001） 要求的职业健康安全管理体系。</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GB/T 45001-2020 职业健康安全管理体系 要求及使用指南（代替GB/T 28001-2011,GB/T 28002-2011）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环境管</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理体系</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工厂建立、实施并保持满足 GB/T 24001 要求的环境管理体系。</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24001-2016 环境管理体系 要求及使用指南</w:t>
            </w:r>
          </w:p>
          <w:p>
            <w:pPr>
              <w:pStyle w:val="2"/>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24004-2017</w:t>
            </w:r>
            <w:r>
              <w:rPr>
                <w:rFonts w:hint="eastAsia" w:ascii="Times New Roman" w:hAnsi="Times New Roman" w:eastAsia="仿宋_GB2312" w:cs="Times New Roman"/>
                <w:i w:val="0"/>
                <w:iCs w:val="0"/>
                <w:color w:val="auto"/>
                <w:kern w:val="0"/>
                <w:sz w:val="24"/>
                <w:szCs w:val="24"/>
                <w:highlight w:val="none"/>
                <w:u w:val="none"/>
                <w:lang w:val="en-US" w:eastAsia="zh-CN" w:bidi="ar"/>
              </w:rPr>
              <w:t xml:space="preserve"> </w:t>
            </w:r>
            <w:r>
              <w:rPr>
                <w:rFonts w:hint="default" w:ascii="Times New Roman" w:hAnsi="Times New Roman" w:eastAsia="仿宋_GB2312" w:cs="Times New Roman"/>
                <w:i w:val="0"/>
                <w:iCs w:val="0"/>
                <w:color w:val="auto"/>
                <w:kern w:val="0"/>
                <w:sz w:val="24"/>
                <w:szCs w:val="24"/>
                <w:highlight w:val="none"/>
                <w:u w:val="none"/>
                <w:lang w:val="en-US" w:eastAsia="zh-CN" w:bidi="ar"/>
              </w:rPr>
              <w:t>环境管理体系 通用实施指南</w:t>
            </w:r>
          </w:p>
          <w:p>
            <w:pPr>
              <w:rPr>
                <w:rFonts w:hint="default"/>
                <w:color w:val="auto"/>
              </w:rPr>
            </w:pPr>
            <w:r>
              <w:rPr>
                <w:rFonts w:hint="default" w:ascii="Times New Roman" w:hAnsi="Times New Roman" w:eastAsia="仿宋_GB2312" w:cs="Times New Roman"/>
                <w:i w:val="0"/>
                <w:iCs w:val="0"/>
                <w:color w:val="auto"/>
                <w:kern w:val="0"/>
                <w:sz w:val="24"/>
                <w:szCs w:val="24"/>
                <w:highlight w:val="none"/>
                <w:u w:val="none"/>
                <w:lang w:val="en-US" w:eastAsia="zh-CN" w:bidi="ar"/>
              </w:rPr>
              <w:t>GB/T 43385-2023</w:t>
            </w:r>
            <w:r>
              <w:rPr>
                <w:rFonts w:hint="eastAsia" w:ascii="Times New Roman" w:hAnsi="Times New Roman" w:eastAsia="仿宋_GB2312" w:cs="Times New Roman"/>
                <w:i w:val="0"/>
                <w:iCs w:val="0"/>
                <w:color w:val="auto"/>
                <w:kern w:val="0"/>
                <w:sz w:val="24"/>
                <w:szCs w:val="24"/>
                <w:highlight w:val="none"/>
                <w:u w:val="none"/>
                <w:lang w:val="en-US" w:eastAsia="zh-CN" w:bidi="ar"/>
              </w:rPr>
              <w:t xml:space="preserve"> </w:t>
            </w:r>
            <w:r>
              <w:rPr>
                <w:rFonts w:hint="default" w:ascii="Times New Roman" w:hAnsi="Times New Roman" w:eastAsia="仿宋_GB2312" w:cs="Times New Roman"/>
                <w:i w:val="0"/>
                <w:iCs w:val="0"/>
                <w:color w:val="auto"/>
                <w:kern w:val="0"/>
                <w:sz w:val="24"/>
                <w:szCs w:val="24"/>
                <w:highlight w:val="none"/>
                <w:u w:val="none"/>
                <w:lang w:val="en-US" w:eastAsia="zh-CN" w:bidi="ar"/>
              </w:rPr>
              <w:t>环境管理体系 采取灵活方法分阶段实施的指南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能源管</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理体系</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工厂建立、实施并保持满足 GB/T 23331 要求的能源管理体系。</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23331-2020  能源管理体系 要求及使用指南</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GB/T 15587-2023</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能源管理体系 分阶段实施指南</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29456-2012</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能源管理体系 实施指南</w:t>
            </w:r>
          </w:p>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有关行业能源管理体系实施指南（国标）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社会</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责任</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每年发布社会责任报告，说明履行利益相关方责任的情况，特别是环境社会责任的履行情况，报告公开可获得。</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36001-2015  社会责任报告编写指南</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GB/T 36000-2015  社会责任指南</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GB/T 36002-2015  社会责任绩效分类指引</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39604-2020</w:t>
            </w:r>
            <w:r>
              <w:rPr>
                <w:rFonts w:hint="eastAsia" w:ascii="Times New Roman" w:hAnsi="Times New Roman" w:eastAsia="仿宋_GB2312" w:cs="Times New Roman"/>
                <w:i w:val="0"/>
                <w:iCs w:val="0"/>
                <w:color w:val="auto"/>
                <w:kern w:val="0"/>
                <w:sz w:val="24"/>
                <w:szCs w:val="24"/>
                <w:highlight w:val="none"/>
                <w:u w:val="none"/>
                <w:lang w:val="en-US" w:eastAsia="zh-CN" w:bidi="ar"/>
              </w:rPr>
              <w:t xml:space="preserve">  </w:t>
            </w:r>
            <w:r>
              <w:rPr>
                <w:rFonts w:hint="default" w:ascii="Times New Roman" w:hAnsi="Times New Roman" w:eastAsia="仿宋_GB2312" w:cs="Times New Roman"/>
                <w:i w:val="0"/>
                <w:iCs w:val="0"/>
                <w:color w:val="auto"/>
                <w:kern w:val="0"/>
                <w:sz w:val="24"/>
                <w:szCs w:val="24"/>
                <w:highlight w:val="none"/>
                <w:u w:val="none"/>
                <w:lang w:val="en-US" w:eastAsia="zh-CN" w:bidi="ar"/>
              </w:rPr>
              <w:t>社会责任管理体系 要求及使用指南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3</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能源资</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源投入</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投入</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充分利用余热余压。</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GB/T 39091-2020  工业余热梯级综合利用导则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资源</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投入</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工厂应按照 GB/T7119 的要求对其开展节水评价工作，且满足 GB/T18916（所有部分）中对应本行业的取水定额要求。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7119-2018  节水型企业评价导则</w:t>
            </w:r>
          </w:p>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color w:val="auto"/>
                <w:kern w:val="0"/>
                <w:sz w:val="24"/>
                <w:szCs w:val="24"/>
                <w:highlight w:val="none"/>
                <w:u w:val="none"/>
                <w:lang w:val="en-US" w:eastAsia="zh-CN" w:bidi="ar"/>
              </w:rPr>
              <w:t>相关行业</w:t>
            </w:r>
            <w:r>
              <w:rPr>
                <w:rFonts w:hint="default" w:ascii="Times New Roman" w:hAnsi="Times New Roman" w:eastAsia="仿宋_GB2312" w:cs="Times New Roman"/>
                <w:i w:val="0"/>
                <w:iCs w:val="0"/>
                <w:color w:val="auto"/>
                <w:kern w:val="0"/>
                <w:sz w:val="24"/>
                <w:szCs w:val="24"/>
                <w:highlight w:val="none"/>
                <w:u w:val="none"/>
                <w:lang w:val="en-US" w:eastAsia="zh-CN" w:bidi="ar"/>
              </w:rPr>
              <w:t>节水型企业</w:t>
            </w:r>
            <w:r>
              <w:rPr>
                <w:rFonts w:hint="eastAsia" w:ascii="Times New Roman" w:hAnsi="Times New Roman" w:eastAsia="仿宋_GB2312" w:cs="Times New Roman"/>
                <w:i w:val="0"/>
                <w:iCs w:val="0"/>
                <w:color w:val="auto"/>
                <w:kern w:val="0"/>
                <w:sz w:val="24"/>
                <w:szCs w:val="24"/>
                <w:highlight w:val="none"/>
                <w:u w:val="none"/>
                <w:lang w:val="en-US" w:eastAsia="zh-CN" w:bidi="ar"/>
              </w:rPr>
              <w:t>国家标准</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GB/T 18916（所有部分） 取水定额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工厂应按照 GB/T 29115 的要求对其原材料使用量的减少进行评价。</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GB/T 29115-2012  工业企业节约原材料评价导则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采购</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满足绿色供应链评价要求。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43145-2023</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绿色制造 制造企业绿色供应链管理 逆向物流</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41505-2022</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电子信息制造企业绿色供应链管理规范</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39258-2020</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绿色制造 制造企业绿色供应链管理 采购控制</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39256-2020</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绿色制造 制造企业绿色供应链管理 信息化管理平台规范</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39259-2020</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绿色制造 制造企业绿色供应链管理 物料清单要求</w:t>
            </w:r>
          </w:p>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39257-2020</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绿色制造 制造企业绿色供应链管理 评价规范</w:t>
            </w:r>
          </w:p>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GB/T 33635-2017</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绿色制造 制造企业绿色供应链管理 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4</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产品</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生态</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设计</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 GB/T 24256 对生产的产品进行生态设计。</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GB/T 24256-2009  产品生态设计通则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 GB/T 32161 对生产的产品进行生态设计产品评价，满足绿色产品（生态设计产品）评价要求。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32161-2015  生态设计产品评价通则</w:t>
            </w:r>
          </w:p>
          <w:p>
            <w:pPr>
              <w:pStyle w:val="2"/>
              <w:rPr>
                <w:rFonts w:hint="default"/>
                <w:color w:val="auto"/>
              </w:rPr>
            </w:pPr>
            <w:r>
              <w:rPr>
                <w:rFonts w:hint="eastAsia" w:ascii="Times New Roman" w:hAnsi="Times New Roman" w:eastAsia="仿宋_GB2312" w:cs="Times New Roman"/>
                <w:i w:val="0"/>
                <w:iCs w:val="0"/>
                <w:color w:val="auto"/>
                <w:kern w:val="0"/>
                <w:sz w:val="24"/>
                <w:szCs w:val="24"/>
                <w:highlight w:val="none"/>
                <w:u w:val="none"/>
                <w:lang w:val="en-US" w:eastAsia="zh-CN" w:bidi="ar"/>
              </w:rPr>
              <w:t>《</w:t>
            </w:r>
            <w:r>
              <w:rPr>
                <w:rFonts w:hint="default" w:ascii="Times New Roman" w:hAnsi="Times New Roman" w:eastAsia="仿宋_GB2312" w:cs="Times New Roman"/>
                <w:i w:val="0"/>
                <w:iCs w:val="0"/>
                <w:color w:val="auto"/>
                <w:kern w:val="0"/>
                <w:sz w:val="24"/>
                <w:szCs w:val="24"/>
                <w:highlight w:val="none"/>
                <w:u w:val="none"/>
                <w:lang w:val="en-US" w:eastAsia="zh-CN" w:bidi="ar"/>
              </w:rPr>
              <w:t>绿色设计产品评价技术规范</w:t>
            </w:r>
            <w:r>
              <w:rPr>
                <w:rFonts w:hint="eastAsia" w:ascii="Times New Roman" w:hAnsi="Times New Roman" w:eastAsia="仿宋_GB2312" w:cs="Times New Roman"/>
                <w:i w:val="0"/>
                <w:iCs w:val="0"/>
                <w:color w:val="auto"/>
                <w:kern w:val="0"/>
                <w:sz w:val="24"/>
                <w:szCs w:val="24"/>
                <w:highlight w:val="none"/>
                <w:u w:val="none"/>
                <w:lang w:val="en-US" w:eastAsia="zh-CN" w:bidi="ar"/>
              </w:rPr>
              <w:t>》系列产品行业标准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有害物质使用</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工厂生产的产品（包括原料和辅料）应减少有害物质的使用，避免有害物质的泄露，满足国家对产品中有害物质限制使用的要求。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《有毒有害大气污染物名录（2018年）》《有毒有害水污染物名录（第一批）》《有毒有害水污染物名录（第二批）》</w:t>
            </w:r>
            <w:r>
              <w:rPr>
                <w:rFonts w:hint="default" w:ascii="Times New Roman" w:hAnsi="Times New Roman" w:eastAsia="仿宋_GB2312" w:cs="Times New Roman"/>
                <w:i w:val="0"/>
                <w:iCs w:val="0"/>
                <w:color w:val="auto"/>
                <w:kern w:val="0"/>
                <w:sz w:val="24"/>
                <w:szCs w:val="24"/>
                <w:highlight w:val="none"/>
                <w:u w:val="none"/>
                <w:lang w:val="en-US" w:eastAsia="zh-CN" w:bidi="ar"/>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节能</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工厂生产的产品若为用能产品或在使用过程中对最终产品/构造的能耗有影响的产品，适用时，应满足相关标准的限定值要求。未制定标准的，产品能效应不低于行业平均值。</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相关设备的能效限定值及能效等级（国标）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减碳</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采用适用的标准或规范对产品进行碳足迹核算或核查。</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PAS2050</w:t>
            </w:r>
            <w:r>
              <w:rPr>
                <w:rFonts w:hint="eastAsia" w:ascii="Times New Roman" w:hAnsi="Times New Roman" w:eastAsia="仿宋_GB2312" w:cs="Times New Roman"/>
                <w:i w:val="0"/>
                <w:iCs w:val="0"/>
                <w:color w:val="auto"/>
                <w:kern w:val="0"/>
                <w:sz w:val="24"/>
                <w:szCs w:val="24"/>
                <w:highlight w:val="none"/>
                <w:u w:val="none"/>
                <w:lang w:val="en-US" w:eastAsia="zh-CN" w:bidi="ar"/>
              </w:rPr>
              <w:t xml:space="preserve"> </w:t>
            </w:r>
            <w:r>
              <w:rPr>
                <w:rFonts w:hint="default" w:ascii="Times New Roman" w:hAnsi="Times New Roman" w:eastAsia="仿宋_GB2312" w:cs="Times New Roman"/>
                <w:i w:val="0"/>
                <w:iCs w:val="0"/>
                <w:color w:val="auto"/>
                <w:kern w:val="0"/>
                <w:sz w:val="24"/>
                <w:szCs w:val="24"/>
                <w:highlight w:val="none"/>
                <w:u w:val="none"/>
                <w:lang w:val="en-US" w:eastAsia="zh-CN" w:bidi="ar"/>
              </w:rPr>
              <w:t xml:space="preserve"> 产品与服务生命周期温室气体排放的评价规范》</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GHGP rotocol</w:t>
            </w:r>
            <w:r>
              <w:rPr>
                <w:rFonts w:hint="eastAsia" w:ascii="Times New Roman" w:hAnsi="Times New Roman" w:eastAsia="仿宋_GB2312" w:cs="Times New Roman"/>
                <w:i w:val="0"/>
                <w:iCs w:val="0"/>
                <w:color w:val="auto"/>
                <w:kern w:val="0"/>
                <w:sz w:val="24"/>
                <w:szCs w:val="24"/>
                <w:highlight w:val="none"/>
                <w:u w:val="none"/>
                <w:lang w:val="en-US" w:eastAsia="zh-CN" w:bidi="ar"/>
              </w:rPr>
              <w:t xml:space="preserve"> </w:t>
            </w:r>
            <w:r>
              <w:rPr>
                <w:rFonts w:hint="default" w:ascii="Times New Roman" w:hAnsi="Times New Roman" w:eastAsia="仿宋_GB2312" w:cs="Times New Roman"/>
                <w:i w:val="0"/>
                <w:iCs w:val="0"/>
                <w:color w:val="auto"/>
                <w:kern w:val="0"/>
                <w:sz w:val="24"/>
                <w:szCs w:val="24"/>
                <w:highlight w:val="none"/>
                <w:u w:val="none"/>
                <w:lang w:val="en-US" w:eastAsia="zh-CN" w:bidi="ar"/>
              </w:rPr>
              <w:t>产品生命周期核算与报告标准</w:t>
            </w:r>
          </w:p>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ISO</w:t>
            </w:r>
            <w:r>
              <w:rPr>
                <w:rFonts w:hint="eastAsia" w:ascii="Times New Roman" w:hAnsi="Times New Roman" w:eastAsia="仿宋_GB2312" w:cs="Times New Roman"/>
                <w:i w:val="0"/>
                <w:iCs w:val="0"/>
                <w:color w:val="auto"/>
                <w:kern w:val="0"/>
                <w:sz w:val="24"/>
                <w:szCs w:val="24"/>
                <w:highlight w:val="none"/>
                <w:u w:val="none"/>
                <w:lang w:val="en-US" w:eastAsia="zh-CN" w:bidi="ar"/>
              </w:rPr>
              <w:t xml:space="preserve"> </w:t>
            </w:r>
            <w:r>
              <w:rPr>
                <w:rFonts w:hint="default" w:ascii="Times New Roman" w:hAnsi="Times New Roman" w:eastAsia="仿宋_GB2312" w:cs="Times New Roman"/>
                <w:i w:val="0"/>
                <w:iCs w:val="0"/>
                <w:color w:val="auto"/>
                <w:kern w:val="0"/>
                <w:sz w:val="24"/>
                <w:szCs w:val="24"/>
                <w:highlight w:val="none"/>
                <w:u w:val="none"/>
                <w:lang w:val="en-US" w:eastAsia="zh-CN" w:bidi="ar"/>
              </w:rPr>
              <w:t>14067 产品碳足迹量化与交流的要求与指导技术规范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可回收</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利用率</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20862的要求计算其产品的可回收利用率。</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GB/T 20862-2007  产品可回收利用率计算方法导则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环境排</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放</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大气污染物</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工厂的大气污染物排放应符合相关国家标准、行业标准及地方标准要求，并满足区域内排放总量控制要求。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 16297-1996  大气污染物综合排放标准</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各行业的大气污染物综合排放标准（国标）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水体污染物</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工厂的水体污染物排放应符合相关国家标准、行业标准及地方标准要求，或在满足要求的前提下委托具备相应能力和资质的处理厂进行处理，并满足区域内排放总量控制要求。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 8978-1996  污水综合排放标准</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各行业水污染物排放标准（国标）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固体废</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弃物</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工厂产生的固体废弃物的处理应符合 GB 18599 及相关标准的要求。工厂无法自行处理的，应将固体废弃物转交给具备相应能力和资质的处理厂进行处理。</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 18599-2020  一般工业固体废物贮存和填埋污染控制标准</w:t>
            </w:r>
          </w:p>
          <w:p>
            <w:pPr>
              <w:pStyle w:val="2"/>
              <w:rPr>
                <w:rFonts w:hint="default"/>
                <w:color w:val="auto"/>
              </w:rPr>
            </w:pPr>
            <w:r>
              <w:rPr>
                <w:rFonts w:hint="default" w:ascii="Times New Roman" w:hAnsi="Times New Roman" w:eastAsia="仿宋_GB2312" w:cs="Times New Roman"/>
                <w:i w:val="0"/>
                <w:iCs w:val="0"/>
                <w:color w:val="auto"/>
                <w:kern w:val="0"/>
                <w:sz w:val="24"/>
                <w:szCs w:val="24"/>
                <w:highlight w:val="none"/>
                <w:u w:val="none"/>
                <w:lang w:val="en-US" w:eastAsia="zh-CN" w:bidi="ar"/>
              </w:rPr>
              <w:t>GB 18597-2023</w:t>
            </w:r>
            <w:r>
              <w:rPr>
                <w:rFonts w:hint="default" w:ascii="Times New Roman" w:hAnsi="Times New Roman" w:eastAsia="仿宋_GB2312" w:cs="Times New Roman"/>
                <w:i w:val="0"/>
                <w:iCs w:val="0"/>
                <w:color w:val="auto"/>
                <w:kern w:val="0"/>
                <w:sz w:val="24"/>
                <w:szCs w:val="24"/>
                <w:highlight w:val="none"/>
                <w:u w:val="none"/>
                <w:lang w:val="en-US" w:eastAsia="zh-CN" w:bidi="ar"/>
              </w:rPr>
              <w:tab/>
            </w:r>
            <w:r>
              <w:rPr>
                <w:rFonts w:hint="default" w:ascii="Times New Roman" w:hAnsi="Times New Roman" w:eastAsia="仿宋_GB2312" w:cs="Times New Roman"/>
                <w:i w:val="0"/>
                <w:iCs w:val="0"/>
                <w:color w:val="auto"/>
                <w:kern w:val="0"/>
                <w:sz w:val="24"/>
                <w:szCs w:val="24"/>
                <w:highlight w:val="none"/>
                <w:u w:val="none"/>
                <w:lang w:val="en-US" w:eastAsia="zh-CN" w:bidi="ar"/>
              </w:rPr>
              <w:t>危险废物贮存污染控制标准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噪声</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工厂的厂界环境噪声排放应符合相关国家标准、行业标准及地方标准要求。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GB 12348-2008  工业企业厂界环境噪声排放标准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温室</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气体</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工厂应采用 GB/T 32150 或适用的标准或规范对其厂界范围内的温室气体排放进行核算和报告。</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GB/T 32150-2015  工业企业温室气体排放核算和报告通则</w:t>
            </w:r>
          </w:p>
          <w:p>
            <w:pPr>
              <w:pStyle w:val="2"/>
              <w:rPr>
                <w:rFonts w:hint="default"/>
                <w:color w:val="auto"/>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相关行业温室气体排放核算与报告要求国家标准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6</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绩效</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用地集</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约化</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 GB/T 36132 附录 A 计算工厂容积率，指标应不低于《工业项目建设用地控制指标》的要求。</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自然资源部《工业项目建设用地控制指标》</w:t>
            </w:r>
            <w:r>
              <w:rPr>
                <w:rFonts w:hint="eastAsia" w:ascii="Times New Roman" w:hAnsi="Times New Roman" w:eastAsia="仿宋_GB2312" w:cs="Times New Roman"/>
                <w:i w:val="0"/>
                <w:iCs w:val="0"/>
                <w:color w:val="auto"/>
                <w:kern w:val="0"/>
                <w:sz w:val="24"/>
                <w:szCs w:val="24"/>
                <w:highlight w:val="none"/>
                <w:u w:val="none"/>
                <w:lang w:val="en-US" w:eastAsia="zh-CN" w:bidi="ar"/>
              </w:rPr>
              <w:t>（2023年）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原料无</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害化</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 GB/T 36132 附录 A 识别、统计和计算工厂的绿色物料使用情况。</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《国家工业固体废物资源综合利用产品目录》</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《国家鼓励的有毒有害原料（产品）替代品目录（2016年版）》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生产洁</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净化</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 GB/T 36132 附录 A 计算单位产品主要污染物产生量（包括化学需氧量、氨氮、二氧化硫、氮氧化物等），指标应不高于行业平均水平。（装备、电子、电器等离散制造业可采用单位产值或单位工业增加值指标。）</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相关行业清洁生产评价指标体系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废物资</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源化</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 GB/T 36132 附录 A 计算单位产品主要原材料消耗量，指标应不高于行业平均水平。</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相关行业清洁生产评价指标体系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能源低</w:t>
            </w:r>
            <w:r>
              <w:rPr>
                <w:rFonts w:hint="default" w:ascii="Times New Roman" w:hAnsi="Times New Roman" w:eastAsia="仿宋_GB2312" w:cs="Times New Roman"/>
                <w:i w:val="0"/>
                <w:iCs w:val="0"/>
                <w:color w:val="auto"/>
                <w:kern w:val="0"/>
                <w:sz w:val="24"/>
                <w:szCs w:val="24"/>
                <w:highlight w:val="none"/>
                <w:u w:val="none"/>
                <w:lang w:val="en-US" w:eastAsia="zh-CN" w:bidi="ar"/>
              </w:rPr>
              <w:br w:type="textWrapping"/>
            </w:r>
            <w:r>
              <w:rPr>
                <w:rFonts w:hint="default" w:ascii="Times New Roman" w:hAnsi="Times New Roman" w:eastAsia="仿宋_GB2312" w:cs="Times New Roman"/>
                <w:i w:val="0"/>
                <w:iCs w:val="0"/>
                <w:color w:val="auto"/>
                <w:kern w:val="0"/>
                <w:sz w:val="24"/>
                <w:szCs w:val="24"/>
                <w:highlight w:val="none"/>
                <w:u w:val="none"/>
                <w:lang w:val="en-US" w:eastAsia="zh-CN" w:bidi="ar"/>
              </w:rPr>
              <w:t>碳化</w:t>
            </w: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 GB/T 36132 附录 A 计算单位产品综合能耗，指标应符合相关国家、行业标准中的限额要求。未制定相关标准的，应达到行业平均水平。（装备、电子、电器等离散制造业可采用单位产值或单位工业增加值指标。）</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单位产品能源消耗限额国家标准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2"/>
                <w:szCs w:val="22"/>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 GB/T 36132 附录 A 计算单位产品碳排放量，指标应优于行业平均水平。（装备、电子、电器等离散制造业可采用单位产值或单位工业增加值指标。）</w:t>
            </w:r>
          </w:p>
        </w:tc>
        <w:tc>
          <w:tcPr>
            <w:tcW w:w="19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color w:val="auto"/>
                <w:kern w:val="0"/>
                <w:sz w:val="24"/>
                <w:szCs w:val="24"/>
                <w:highlight w:val="none"/>
                <w:u w:val="none"/>
                <w:lang w:val="en-US" w:eastAsia="zh-CN" w:bidi="ar"/>
              </w:rPr>
              <w:t>相关行业温室气体排放核算与报告要求国家标准</w:t>
            </w:r>
          </w:p>
        </w:tc>
      </w:tr>
    </w:tbl>
    <w:p>
      <w:pPr>
        <w:bidi w:val="0"/>
        <w:rPr>
          <w:rFonts w:hint="default" w:ascii="Times New Roman" w:hAnsi="Times New Roman" w:cs="Times New Roman"/>
          <w:color w:val="auto"/>
          <w:highlight w:val="none"/>
          <w:lang w:val="en-US" w:eastAsia="zh-CN"/>
        </w:rPr>
      </w:pPr>
    </w:p>
    <w:p>
      <w:pPr>
        <w:pStyle w:val="4"/>
        <w:bidi w:val="0"/>
        <w:ind w:firstLine="640" w:firstLineChars="200"/>
        <w:outlineLvl w:val="0"/>
        <w:rPr>
          <w:rFonts w:hint="default" w:ascii="Times New Roman" w:hAnsi="Times New Roman" w:eastAsia="黑体" w:cs="Times New Roman"/>
          <w:b w:val="0"/>
          <w:bCs w:val="0"/>
          <w:color w:val="auto"/>
          <w:highlight w:val="none"/>
          <w:lang w:val="en-US" w:eastAsia="zh-CN"/>
        </w:rPr>
      </w:pPr>
      <w:bookmarkStart w:id="23" w:name="_Toc26578"/>
      <w:bookmarkStart w:id="24" w:name="_Toc32675"/>
      <w:r>
        <w:rPr>
          <w:rFonts w:hint="default" w:ascii="Times New Roman" w:hAnsi="Times New Roman" w:eastAsia="黑体" w:cs="Times New Roman"/>
          <w:b w:val="0"/>
          <w:bCs w:val="0"/>
          <w:color w:val="auto"/>
          <w:highlight w:val="none"/>
          <w:lang w:val="en-US" w:eastAsia="zh-CN"/>
        </w:rPr>
        <w:t>四、绿色工业园区评价要求</w:t>
      </w:r>
      <w:bookmarkEnd w:id="23"/>
      <w:bookmarkEnd w:id="24"/>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eastAsia="zh-CN"/>
        </w:rPr>
      </w:pPr>
      <w:bookmarkStart w:id="25" w:name="_Toc16292"/>
      <w:bookmarkStart w:id="26" w:name="_Toc8942"/>
      <w:r>
        <w:rPr>
          <w:rFonts w:hint="default" w:ascii="Times New Roman" w:hAnsi="Times New Roman" w:eastAsia="楷体" w:cs="Times New Roman"/>
          <w:b w:val="0"/>
          <w:bCs w:val="0"/>
          <w:color w:val="auto"/>
          <w:sz w:val="32"/>
          <w:szCs w:val="36"/>
          <w:highlight w:val="none"/>
          <w:lang w:eastAsia="zh-CN"/>
        </w:rPr>
        <w:t>（一）基本要求</w:t>
      </w:r>
      <w:bookmarkEnd w:id="25"/>
      <w:bookmarkEnd w:id="26"/>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1.符合《绿色园区评价要求》（工信厅节函〔2016〕586号）中的基本要求。</w:t>
      </w:r>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2.申报省级绿色工业园区的开发区，应当至少创建了3家省级绿色制造单位或1家国家级绿色制造单位，或同时正在创建至少3家绿色制造单位。</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bookmarkStart w:id="27" w:name="_Toc29187"/>
      <w:bookmarkStart w:id="28" w:name="_Toc18362"/>
      <w:r>
        <w:rPr>
          <w:rFonts w:hint="default" w:ascii="Times New Roman" w:hAnsi="Times New Roman" w:eastAsia="楷体" w:cs="Times New Roman"/>
          <w:b w:val="0"/>
          <w:bCs w:val="0"/>
          <w:color w:val="auto"/>
          <w:sz w:val="32"/>
          <w:szCs w:val="36"/>
          <w:highlight w:val="none"/>
          <w:lang w:val="en-US" w:eastAsia="zh-CN"/>
        </w:rPr>
        <w:t>（二）评价说明</w:t>
      </w:r>
      <w:bookmarkEnd w:id="27"/>
      <w:bookmarkEnd w:id="28"/>
    </w:p>
    <w:p>
      <w:pPr>
        <w:pStyle w:val="47"/>
        <w:ind w:left="0" w:leftChars="0" w:firstLine="640" w:firstLineChars="200"/>
        <w:rPr>
          <w:rFonts w:hint="default" w:ascii="Times New Roman" w:hAnsi="Times New Roman" w:cs="Times New Roman"/>
          <w:color w:val="auto"/>
          <w:kern w:val="0"/>
          <w:sz w:val="32"/>
          <w:szCs w:val="32"/>
          <w:highlight w:val="none"/>
          <w:lang w:val="en-US" w:eastAsia="zh-CN" w:bidi="ar-SA"/>
        </w:rPr>
      </w:pPr>
      <w:r>
        <w:rPr>
          <w:rFonts w:hint="default" w:ascii="Times New Roman" w:hAnsi="Times New Roman" w:cs="Times New Roman"/>
          <w:color w:val="auto"/>
          <w:kern w:val="0"/>
          <w:sz w:val="32"/>
          <w:szCs w:val="32"/>
          <w:highlight w:val="none"/>
          <w:lang w:val="en-US" w:eastAsia="zh-CN" w:bidi="ar-SA"/>
        </w:rPr>
        <w:t>按照</w:t>
      </w:r>
      <w:r>
        <w:rPr>
          <w:rFonts w:hint="default" w:ascii="Times New Roman" w:hAnsi="Times New Roman" w:eastAsia="仿宋_GB2312" w:cs="Times New Roman"/>
          <w:color w:val="auto"/>
          <w:kern w:val="0"/>
          <w:sz w:val="32"/>
          <w:szCs w:val="32"/>
          <w:highlight w:val="none"/>
          <w:lang w:val="en-US" w:eastAsia="zh-CN" w:bidi="ar-SA"/>
        </w:rPr>
        <w:t>附件</w:t>
      </w:r>
      <w:r>
        <w:rPr>
          <w:rFonts w:hint="default" w:ascii="Times New Roman" w:hAnsi="Times New Roman" w:cs="Times New Roman"/>
          <w:color w:val="auto"/>
          <w:kern w:val="0"/>
          <w:sz w:val="32"/>
          <w:szCs w:val="32"/>
          <w:highlight w:val="none"/>
          <w:lang w:val="en-US" w:eastAsia="zh-CN" w:bidi="ar-SA"/>
        </w:rPr>
        <w:t>2</w:t>
      </w:r>
      <w:r>
        <w:rPr>
          <w:rFonts w:hint="default" w:ascii="Times New Roman" w:hAnsi="Times New Roman" w:eastAsia="仿宋_GB2312" w:cs="Times New Roman"/>
          <w:color w:val="auto"/>
          <w:kern w:val="0"/>
          <w:sz w:val="32"/>
          <w:szCs w:val="32"/>
          <w:highlight w:val="none"/>
          <w:lang w:val="en-US" w:eastAsia="zh-CN" w:bidi="ar-SA"/>
        </w:rPr>
        <w:t>要求</w:t>
      </w:r>
      <w:r>
        <w:rPr>
          <w:rFonts w:hint="default" w:ascii="Times New Roman" w:hAnsi="Times New Roman" w:cs="Times New Roman"/>
          <w:color w:val="auto"/>
          <w:kern w:val="0"/>
          <w:sz w:val="32"/>
          <w:szCs w:val="32"/>
          <w:highlight w:val="none"/>
          <w:lang w:val="en-US" w:eastAsia="zh-CN" w:bidi="ar-SA"/>
        </w:rPr>
        <w:t>编制《</w:t>
      </w:r>
      <w:r>
        <w:rPr>
          <w:rFonts w:hint="default" w:ascii="Times New Roman" w:hAnsi="Times New Roman" w:eastAsia="仿宋_GB2312" w:cs="Times New Roman"/>
          <w:color w:val="auto"/>
          <w:kern w:val="0"/>
          <w:sz w:val="32"/>
          <w:szCs w:val="32"/>
          <w:highlight w:val="none"/>
          <w:lang w:val="en-US" w:eastAsia="zh-CN" w:bidi="ar-SA"/>
        </w:rPr>
        <w:t>绿色工业园区评价报告</w:t>
      </w:r>
      <w:r>
        <w:rPr>
          <w:rFonts w:hint="default" w:ascii="Times New Roman" w:hAnsi="Times New Roman" w:cs="Times New Roman"/>
          <w:color w:val="auto"/>
          <w:kern w:val="0"/>
          <w:sz w:val="32"/>
          <w:szCs w:val="32"/>
          <w:highlight w:val="none"/>
          <w:lang w:val="en-US" w:eastAsia="zh-CN" w:bidi="ar-SA"/>
        </w:rPr>
        <w:t>》。</w:t>
      </w:r>
      <w:r>
        <w:rPr>
          <w:rFonts w:hint="default" w:ascii="Times New Roman" w:hAnsi="Times New Roman" w:eastAsia="仿宋_GB2312" w:cs="Times New Roman"/>
          <w:color w:val="auto"/>
          <w:kern w:val="0"/>
          <w:sz w:val="32"/>
          <w:szCs w:val="32"/>
          <w:highlight w:val="none"/>
          <w:lang w:val="en-US" w:eastAsia="zh-CN"/>
        </w:rPr>
        <w:t>本《指南》所列的相关</w:t>
      </w:r>
      <w:r>
        <w:rPr>
          <w:rFonts w:hint="default" w:ascii="Times New Roman" w:hAnsi="Times New Roman" w:cs="Times New Roman"/>
          <w:color w:val="auto"/>
          <w:kern w:val="0"/>
          <w:sz w:val="32"/>
          <w:szCs w:val="32"/>
          <w:highlight w:val="none"/>
          <w:lang w:val="en-US" w:eastAsia="zh-CN"/>
        </w:rPr>
        <w:t>评价要求</w:t>
      </w:r>
      <w:r>
        <w:rPr>
          <w:rFonts w:hint="default" w:ascii="Times New Roman" w:hAnsi="Times New Roman" w:eastAsia="仿宋_GB2312" w:cs="Times New Roman"/>
          <w:color w:val="auto"/>
          <w:kern w:val="0"/>
          <w:sz w:val="32"/>
          <w:szCs w:val="32"/>
          <w:highlight w:val="none"/>
          <w:lang w:val="en-US" w:eastAsia="zh-CN"/>
        </w:rPr>
        <w:t>如更新的，则以更新版本为准。</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bookmarkStart w:id="29" w:name="_Toc15229"/>
      <w:bookmarkStart w:id="30" w:name="_Toc31447"/>
      <w:r>
        <w:rPr>
          <w:rFonts w:hint="default" w:ascii="Times New Roman" w:hAnsi="Times New Roman" w:eastAsia="楷体" w:cs="Times New Roman"/>
          <w:b w:val="0"/>
          <w:bCs w:val="0"/>
          <w:color w:val="auto"/>
          <w:sz w:val="32"/>
          <w:szCs w:val="36"/>
          <w:highlight w:val="none"/>
          <w:lang w:val="en-US" w:eastAsia="zh-CN"/>
        </w:rPr>
        <w:t>（三）评价依据</w:t>
      </w:r>
      <w:bookmarkEnd w:id="29"/>
      <w:bookmarkEnd w:id="30"/>
    </w:p>
    <w:p>
      <w:pPr>
        <w:pStyle w:val="47"/>
        <w:ind w:left="0" w:leftChars="0" w:firstLine="640" w:firstLineChars="200"/>
        <w:rPr>
          <w:rFonts w:hint="default" w:ascii="Times New Roman" w:hAnsi="Times New Roman" w:cs="Times New Roman"/>
          <w:color w:val="auto"/>
          <w:kern w:val="0"/>
          <w:sz w:val="36"/>
          <w:szCs w:val="36"/>
          <w:highlight w:val="none"/>
          <w:lang w:val="en-US" w:eastAsia="zh-CN" w:bidi="ar-SA"/>
        </w:rPr>
      </w:pPr>
      <w:r>
        <w:rPr>
          <w:rFonts w:hint="default" w:ascii="Times New Roman" w:hAnsi="Times New Roman" w:cs="Times New Roman"/>
          <w:color w:val="auto"/>
          <w:kern w:val="0"/>
          <w:sz w:val="32"/>
          <w:szCs w:val="32"/>
          <w:highlight w:val="none"/>
          <w:lang w:val="en-US" w:eastAsia="zh-CN" w:bidi="ar-SA"/>
        </w:rPr>
        <w:t>《工业和信息化部办公厅关于开展绿色制造体系建设的通知》（工信厅节函〔2016〕586号）附件2《绿色园区评价要求》。</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bookmarkStart w:id="31" w:name="_Toc22579"/>
      <w:bookmarkStart w:id="32" w:name="_Toc20271"/>
      <w:r>
        <w:rPr>
          <w:rFonts w:hint="default" w:ascii="Times New Roman" w:hAnsi="Times New Roman" w:eastAsia="楷体" w:cs="Times New Roman"/>
          <w:b w:val="0"/>
          <w:bCs w:val="0"/>
          <w:color w:val="auto"/>
          <w:sz w:val="32"/>
          <w:szCs w:val="36"/>
          <w:highlight w:val="none"/>
          <w:lang w:val="en-US" w:eastAsia="zh-CN"/>
        </w:rPr>
        <w:t>（四）评价指标</w:t>
      </w:r>
      <w:bookmarkEnd w:id="31"/>
      <w:bookmarkEnd w:id="32"/>
    </w:p>
    <w:p>
      <w:pPr>
        <w:pStyle w:val="47"/>
        <w:ind w:left="0" w:leftChars="0"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绿色</w:t>
      </w:r>
      <w:r>
        <w:rPr>
          <w:rFonts w:hint="default" w:ascii="Times New Roman" w:hAnsi="Times New Roman" w:eastAsia="仿宋_GB2312" w:cs="Times New Roman"/>
          <w:color w:val="auto"/>
          <w:kern w:val="0"/>
          <w:sz w:val="32"/>
          <w:szCs w:val="32"/>
          <w:highlight w:val="none"/>
          <w:lang w:val="en-US" w:eastAsia="zh-CN"/>
        </w:rPr>
        <w:t>工业</w:t>
      </w:r>
      <w:r>
        <w:rPr>
          <w:rFonts w:hint="default" w:ascii="Times New Roman" w:hAnsi="Times New Roman" w:eastAsia="仿宋_GB2312" w:cs="Times New Roman"/>
          <w:color w:val="auto"/>
          <w:kern w:val="0"/>
          <w:sz w:val="32"/>
          <w:szCs w:val="32"/>
          <w:highlight w:val="none"/>
        </w:rPr>
        <w:t>园区评价指标体系包括能源利用绿色化指标、资源利用绿色化指标、基础设施绿色化指标、产业绿色化指标、生态环境绿色化指标、运行管理绿色化指标6个方面</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具体</w:t>
      </w:r>
      <w:r>
        <w:rPr>
          <w:rFonts w:hint="default" w:ascii="Times New Roman" w:hAnsi="Times New Roman" w:cs="Times New Roman"/>
          <w:color w:val="auto"/>
          <w:kern w:val="0"/>
          <w:sz w:val="32"/>
          <w:szCs w:val="32"/>
          <w:highlight w:val="none"/>
          <w:lang w:val="en-US" w:eastAsia="zh-CN"/>
        </w:rPr>
        <w:t>见</w:t>
      </w:r>
      <w:r>
        <w:rPr>
          <w:rFonts w:hint="default" w:ascii="Times New Roman" w:hAnsi="Times New Roman" w:eastAsia="仿宋_GB2312" w:cs="Times New Roman"/>
          <w:color w:val="auto"/>
          <w:kern w:val="0"/>
          <w:sz w:val="32"/>
          <w:szCs w:val="32"/>
          <w:highlight w:val="none"/>
        </w:rPr>
        <w:t>表</w:t>
      </w:r>
      <w:r>
        <w:rPr>
          <w:rFonts w:hint="default" w:ascii="Times New Roman" w:hAnsi="Times New Roman" w:cs="Times New Roman"/>
          <w:color w:val="auto"/>
          <w:kern w:val="0"/>
          <w:sz w:val="32"/>
          <w:szCs w:val="32"/>
          <w:highlight w:val="none"/>
          <w:lang w:val="en-US" w:eastAsia="zh-CN"/>
        </w:rPr>
        <w:t>5</w:t>
      </w:r>
      <w:r>
        <w:rPr>
          <w:rFonts w:hint="default" w:ascii="Times New Roman" w:hAnsi="Times New Roman" w:eastAsia="仿宋_GB2312" w:cs="Times New Roman"/>
          <w:color w:val="auto"/>
          <w:kern w:val="0"/>
          <w:sz w:val="32"/>
          <w:szCs w:val="32"/>
          <w:highlight w:val="none"/>
        </w:rPr>
        <w:t>。</w:t>
      </w:r>
    </w:p>
    <w:p>
      <w:pPr>
        <w:pStyle w:val="47"/>
        <w:ind w:left="0" w:leftChars="0" w:firstLine="640" w:firstLineChars="200"/>
        <w:rPr>
          <w:rFonts w:hint="default" w:ascii="Times New Roman" w:hAnsi="Times New Roman" w:eastAsia="仿宋_GB2312" w:cs="Times New Roman"/>
          <w:color w:val="auto"/>
          <w:kern w:val="0"/>
          <w:sz w:val="32"/>
          <w:szCs w:val="32"/>
          <w:highlight w:val="none"/>
        </w:rPr>
      </w:pPr>
    </w:p>
    <w:p>
      <w:pPr>
        <w:pStyle w:val="47"/>
        <w:ind w:left="0" w:leftChars="0" w:firstLine="640" w:firstLineChars="200"/>
        <w:rPr>
          <w:rFonts w:hint="default" w:ascii="Times New Roman" w:hAnsi="Times New Roman" w:eastAsia="仿宋_GB2312" w:cs="Times New Roman"/>
          <w:color w:val="auto"/>
          <w:kern w:val="0"/>
          <w:sz w:val="32"/>
          <w:szCs w:val="32"/>
          <w:highlight w:val="none"/>
        </w:rPr>
      </w:pPr>
    </w:p>
    <w:p>
      <w:pPr>
        <w:pStyle w:val="47"/>
        <w:ind w:left="0" w:leftChars="0" w:firstLine="640" w:firstLineChars="200"/>
        <w:rPr>
          <w:rFonts w:hint="default" w:ascii="Times New Roman" w:hAnsi="Times New Roman" w:eastAsia="仿宋_GB2312" w:cs="Times New Roman"/>
          <w:color w:val="auto"/>
          <w:kern w:val="0"/>
          <w:sz w:val="32"/>
          <w:szCs w:val="32"/>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8"/>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绿色</w:t>
      </w:r>
      <w:r>
        <w:rPr>
          <w:rFonts w:hint="default" w:ascii="Times New Roman" w:hAnsi="Times New Roman" w:cs="Times New Roman"/>
          <w:color w:val="auto"/>
          <w:highlight w:val="none"/>
          <w:lang w:val="en-US" w:eastAsia="zh-CN"/>
        </w:rPr>
        <w:t>工业</w:t>
      </w:r>
      <w:r>
        <w:rPr>
          <w:rFonts w:hint="default" w:ascii="Times New Roman" w:hAnsi="Times New Roman" w:cs="Times New Roman"/>
          <w:color w:val="auto"/>
          <w:highlight w:val="none"/>
        </w:rPr>
        <w:t>园区评价指标体系</w:t>
      </w:r>
    </w:p>
    <w:tbl>
      <w:tblPr>
        <w:tblStyle w:val="37"/>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525"/>
        <w:gridCol w:w="883"/>
        <w:gridCol w:w="709"/>
        <w:gridCol w:w="708"/>
        <w:gridCol w:w="851"/>
        <w:gridCol w:w="5953"/>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36" w:type="dxa"/>
            <w:shd w:val="clear" w:color="auto" w:fill="auto"/>
            <w:vAlign w:val="center"/>
          </w:tcPr>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一级指标</w:t>
            </w:r>
          </w:p>
        </w:tc>
        <w:tc>
          <w:tcPr>
            <w:tcW w:w="525" w:type="dxa"/>
            <w:shd w:val="clear" w:color="auto" w:fill="auto"/>
            <w:vAlign w:val="center"/>
          </w:tcPr>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序号</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二级</w:t>
            </w:r>
          </w:p>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指标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指标</w:t>
            </w:r>
          </w:p>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单位</w:t>
            </w:r>
          </w:p>
        </w:tc>
        <w:tc>
          <w:tcPr>
            <w:tcW w:w="708" w:type="dxa"/>
            <w:vAlign w:val="center"/>
          </w:tcPr>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引领</w:t>
            </w:r>
          </w:p>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值</w:t>
            </w:r>
          </w:p>
        </w:tc>
        <w:tc>
          <w:tcPr>
            <w:tcW w:w="851" w:type="dxa"/>
            <w:vAlign w:val="center"/>
          </w:tcPr>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类型</w:t>
            </w:r>
          </w:p>
        </w:tc>
        <w:tc>
          <w:tcPr>
            <w:tcW w:w="5953" w:type="dxa"/>
            <w:shd w:val="clear" w:color="auto" w:fill="auto"/>
            <w:vAlign w:val="center"/>
          </w:tcPr>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指标解释</w:t>
            </w:r>
          </w:p>
        </w:tc>
        <w:tc>
          <w:tcPr>
            <w:tcW w:w="3686" w:type="dxa"/>
            <w:shd w:val="clear" w:color="auto" w:fill="auto"/>
            <w:vAlign w:val="center"/>
          </w:tcPr>
          <w:p>
            <w:pPr>
              <w:adjustRightInd w:val="0"/>
              <w:snapToGrid w:val="0"/>
              <w:jc w:val="center"/>
              <w:rPr>
                <w:rFonts w:hint="default" w:ascii="Times New Roman" w:hAnsi="Times New Roman" w:eastAsia="仿宋_GB2312" w:cs="Times New Roman"/>
                <w:b/>
                <w:color w:val="auto"/>
                <w:kern w:val="0"/>
                <w:szCs w:val="21"/>
                <w:highlight w:val="none"/>
              </w:rPr>
            </w:pPr>
            <w:r>
              <w:rPr>
                <w:rFonts w:hint="default" w:ascii="Times New Roman" w:hAnsi="Times New Roman" w:eastAsia="仿宋_GB2312" w:cs="Times New Roman"/>
                <w:b/>
                <w:color w:val="auto"/>
                <w:kern w:val="0"/>
                <w:szCs w:val="21"/>
                <w:highlight w:val="none"/>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能源利用绿色化指标</w:t>
            </w:r>
          </w:p>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（EG）</w:t>
            </w: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能源产出率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万元/tce</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adjustRightInd w:val="0"/>
              <w:snapToGrid w:val="0"/>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kern w:val="0"/>
                <w:szCs w:val="21"/>
                <w:highlight w:val="none"/>
              </w:rPr>
              <w:t>是指报告期内园区工业增加值与能源消耗总量的比值，该项指标越大，表明能源产出效率越高。能源主要包括原煤、原油、天然气、核电、水电、风电等一次能源。工业增加值采用2010年不变价。</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能源产出率=园区工业增加值（万元不变价）/能源综合消耗总量（tce）。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可再生能源使用比例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15</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是指园区内工业企业的可再生能源使用量与综合能耗总量的比值。可再生能源包括太阳能、水能、生物质能、地热能、氢能、波浪能等非化石能源。</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可再生能源使用比例（%）=工业企业可再生能源使用量（tce）/工业企业综合能耗总量（tce）×100%。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清洁能源使用率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75</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是指清洁能源使用量与园区终端能源消费总量之比，能源使用量均按标煤计。其中，清洁能源包括用作燃烧的天然气、焦炉煤气、其他煤气、炼厂干气、液化石油气等清洁燃气、电和低硫轻柴油等清洁燃油（不包括机动车用燃油）。</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清洁能源使用率（%）=清洁能源使用量（tce）/终端能源消费总量（tce）×100%。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资源利用绿色化指标</w:t>
            </w:r>
          </w:p>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(RG)</w:t>
            </w: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4</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水资源产出率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元/m</w:t>
            </w:r>
            <w:r>
              <w:rPr>
                <w:rFonts w:hint="default" w:ascii="Times New Roman" w:hAnsi="Times New Roman" w:eastAsia="仿宋_GB2312" w:cs="Times New Roman"/>
                <w:color w:val="auto"/>
                <w:kern w:val="0"/>
                <w:szCs w:val="21"/>
                <w:highlight w:val="none"/>
                <w:vertAlign w:val="superscript"/>
              </w:rPr>
              <w:t>3</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1500</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是指报告期内园区消耗单位新鲜水量所创造的工业增加值。工业用新鲜水量：指报告期内企业厂区内用于生产和生活的新鲜水量（生活用水单独计量且生活污水不与工业废水混排的除外），它等于企业从城市自来水取用的水量和企业自备水用量之和。</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水资源产出率=园区工业增加值（万元不变价）/园区工业用新鲜水量</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m</w:t>
            </w:r>
            <w:r>
              <w:rPr>
                <w:rFonts w:hint="default" w:ascii="Times New Roman" w:hAnsi="Times New Roman" w:eastAsia="仿宋_GB2312" w:cs="Times New Roman"/>
                <w:color w:val="auto"/>
                <w:kern w:val="0"/>
                <w:szCs w:val="21"/>
                <w:highlight w:val="none"/>
                <w:vertAlign w:val="superscript"/>
              </w:rPr>
              <w:t>3</w:t>
            </w:r>
            <w:r>
              <w:rPr>
                <w:rFonts w:hint="default" w:ascii="Times New Roman" w:hAnsi="Times New Roman" w:eastAsia="仿宋_GB2312" w:cs="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5</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土地资源产出率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亿元/km</w:t>
            </w:r>
            <w:r>
              <w:rPr>
                <w:rFonts w:hint="default" w:ascii="Times New Roman" w:hAnsi="Times New Roman" w:eastAsia="仿宋_GB2312" w:cs="Times New Roman"/>
                <w:color w:val="auto"/>
                <w:kern w:val="0"/>
                <w:szCs w:val="21"/>
                <w:highlight w:val="none"/>
                <w:vertAlign w:val="superscript"/>
              </w:rPr>
              <w:t>2</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15</w:t>
            </w:r>
          </w:p>
        </w:tc>
        <w:tc>
          <w:tcPr>
            <w:tcW w:w="851" w:type="dxa"/>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是指报告期内园区单位工业用地面积产生的工业增加值。工业用地面积指工业园区规划建设范围内按照土地规划作为工业用地并已投入生产的土地面积。工业用地指工矿企业的生产车间、库房及其附属设施等用地，包括专用的铁路、码头和道路等用地，不包括露天矿用地。</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土地产出率=园区工业增加值（万元不变价）/园区工业用地面积</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km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6</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工业固体废弃物综合利用率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95</w:t>
            </w:r>
          </w:p>
        </w:tc>
        <w:tc>
          <w:tcPr>
            <w:tcW w:w="851" w:type="dxa"/>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是指工业固体废物综合利用量占工业固体废物产生量（包括综合利用往年贮存量）的百分率。工业固体废物综合利用量指报告期内企业通过回收、加工、循环、交换等方式，从固体废物中提取或者使其转化为可以利用的资源、能源和其他原材料的固体废物量（包括当年利用往年的工业固体废物贮存量），如用作农业肥料、生产建筑材料、筑路等。综合利用量由原产生固体废物的单位统计。</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工业固体废弃物综合利用率=工业固体废弃物综合利用量</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t)/</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工业固体废弃物产生量+综合利用往年贮存量</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7</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工业用水重复利用率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90</w:t>
            </w:r>
          </w:p>
        </w:tc>
        <w:tc>
          <w:tcPr>
            <w:tcW w:w="851" w:type="dxa"/>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是指工业重复用水量占工业用水总量的百分率。工业重复用水量指报告期内企业生产用水中重复再利用的水量，包括循环使用、一水多用和串级使用的水量（含经处理后回用量）。工业用水总量指报告期内企业厂区内用于生产和生活的水量，它等于工业用新鲜水量与工业重复用水量之和。</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工业用水重复利用率=工业重复用水量</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m</w:t>
            </w:r>
            <w:r>
              <w:rPr>
                <w:rFonts w:hint="default" w:ascii="Times New Roman" w:hAnsi="Times New Roman" w:eastAsia="仿宋_GB2312" w:cs="Times New Roman"/>
                <w:color w:val="auto"/>
                <w:kern w:val="0"/>
                <w:szCs w:val="21"/>
                <w:highlight w:val="none"/>
                <w:vertAlign w:val="superscript"/>
              </w:rPr>
              <w:t>3</w:t>
            </w:r>
            <w:r>
              <w:rPr>
                <w:rFonts w:hint="default" w:ascii="Times New Roman" w:hAnsi="Times New Roman" w:eastAsia="仿宋_GB2312" w:cs="Times New Roman"/>
                <w:color w:val="auto"/>
                <w:kern w:val="0"/>
                <w:szCs w:val="21"/>
                <w:highlight w:val="none"/>
              </w:rPr>
              <w:t>)/工业用水总量</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m</w:t>
            </w:r>
            <w:r>
              <w:rPr>
                <w:rFonts w:hint="default" w:ascii="Times New Roman" w:hAnsi="Times New Roman" w:eastAsia="仿宋_GB2312" w:cs="Times New Roman"/>
                <w:color w:val="auto"/>
                <w:kern w:val="0"/>
                <w:szCs w:val="21"/>
                <w:highlight w:val="none"/>
                <w:vertAlign w:val="superscript"/>
              </w:rPr>
              <w:t>3</w:t>
            </w:r>
            <w:r>
              <w:rPr>
                <w:rFonts w:hint="default" w:ascii="Times New Roman" w:hAnsi="Times New Roman" w:eastAsia="仿宋_GB2312" w:cs="Times New Roman"/>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8</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中水回用率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30</w:t>
            </w:r>
          </w:p>
        </w:tc>
        <w:tc>
          <w:tcPr>
            <w:tcW w:w="851" w:type="dxa"/>
            <w:vMerge w:val="restart"/>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4项指标选2项</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是指园区内再生水的回用量与污水处理厂处理量的比值。其中，再生水（中水）是指二级达标水经再生工艺净化处理后，达到中水水质指标要求，满足某种使用要求的水。</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中水回用率（%）=园区再生水（中水）回用量（万吨）/园区污水处理厂处理量（万吨）×100%。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9</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余热资源回收利用率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60</w:t>
            </w:r>
          </w:p>
        </w:tc>
        <w:tc>
          <w:tcPr>
            <w:tcW w:w="851" w:type="dxa"/>
            <w:vMerge w:val="continue"/>
            <w:vAlign w:val="center"/>
          </w:tcPr>
          <w:p>
            <w:pPr>
              <w:adjustRightInd w:val="0"/>
              <w:snapToGrid w:val="0"/>
              <w:jc w:val="center"/>
              <w:rPr>
                <w:rFonts w:hint="default" w:ascii="Times New Roman" w:hAnsi="Times New Roman" w:eastAsia="仿宋_GB2312" w:cs="Times New Roman"/>
                <w:color w:val="auto"/>
                <w:kern w:val="0"/>
                <w:szCs w:val="21"/>
                <w:highlight w:val="none"/>
              </w:rPr>
            </w:pP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已回收利用的余热占园区余热资源的比重。它是反映企业余热资源回收利用程度的重要指标。余热回收利用是回收生产工艺过程中排出的具有高于环境温度的气态（如高温烟气）、液态（如冷却水）、固态（如各种高温钢材）物质所载有的热能，并加以利用的过程。园区余热资源量按照GB/T 1028计算。</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余热资源回收利用率（%）=回收利用的余热资源量（kJ）/园区总余热资源量（kJ）×100%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10</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废气资源回收利用率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90</w:t>
            </w:r>
          </w:p>
        </w:tc>
        <w:tc>
          <w:tcPr>
            <w:tcW w:w="851" w:type="dxa"/>
            <w:vMerge w:val="continue"/>
            <w:vAlign w:val="center"/>
          </w:tcPr>
          <w:p>
            <w:pPr>
              <w:adjustRightInd w:val="0"/>
              <w:snapToGrid w:val="0"/>
              <w:jc w:val="center"/>
              <w:rPr>
                <w:rFonts w:hint="default" w:ascii="Times New Roman" w:hAnsi="Times New Roman" w:eastAsia="仿宋_GB2312" w:cs="Times New Roman"/>
                <w:color w:val="auto"/>
                <w:kern w:val="0"/>
                <w:szCs w:val="21"/>
                <w:highlight w:val="none"/>
              </w:rPr>
            </w:pP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回收利用的废气资源量占园区废气资源的比重。废气资源量为经技术经济分析确定的可回收利用的废气量。园区中可回收利用的废气资源包括但不限于焦炉煤气、高炉煤气、转炉煤气、电石尾气、黄磷尾气、化工合成驰放气。</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废气资源回收利用率（%）=回收利用的废气资源量（万m</w:t>
            </w:r>
            <w:r>
              <w:rPr>
                <w:rFonts w:hint="default" w:ascii="Times New Roman" w:hAnsi="Times New Roman" w:eastAsia="仿宋_GB2312" w:cs="Times New Roman"/>
                <w:color w:val="auto"/>
                <w:kern w:val="0"/>
                <w:szCs w:val="21"/>
                <w:highlight w:val="none"/>
                <w:vertAlign w:val="superscript"/>
              </w:rPr>
              <w:t>3</w:t>
            </w:r>
            <w:r>
              <w:rPr>
                <w:rFonts w:hint="default" w:ascii="Times New Roman" w:hAnsi="Times New Roman" w:eastAsia="仿宋_GB2312" w:cs="Times New Roman"/>
                <w:color w:val="auto"/>
                <w:kern w:val="0"/>
                <w:szCs w:val="21"/>
                <w:highlight w:val="none"/>
              </w:rPr>
              <w:t>）/园区可回收利用总废气资源量（万m</w:t>
            </w:r>
            <w:r>
              <w:rPr>
                <w:rFonts w:hint="default" w:ascii="Times New Roman" w:hAnsi="Times New Roman" w:eastAsia="仿宋_GB2312" w:cs="Times New Roman"/>
                <w:color w:val="auto"/>
                <w:kern w:val="0"/>
                <w:szCs w:val="21"/>
                <w:highlight w:val="none"/>
                <w:vertAlign w:val="superscript"/>
              </w:rPr>
              <w:t>3</w:t>
            </w:r>
            <w:r>
              <w:rPr>
                <w:rFonts w:hint="default" w:ascii="Times New Roman" w:hAnsi="Times New Roman" w:eastAsia="仿宋_GB2312" w:cs="Times New Roman"/>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11</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再生资源回收利用率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80</w:t>
            </w:r>
          </w:p>
        </w:tc>
        <w:tc>
          <w:tcPr>
            <w:tcW w:w="851" w:type="dxa"/>
            <w:vMerge w:val="continue"/>
            <w:vAlign w:val="center"/>
          </w:tcPr>
          <w:p>
            <w:pPr>
              <w:adjustRightInd w:val="0"/>
              <w:snapToGrid w:val="0"/>
              <w:jc w:val="center"/>
              <w:rPr>
                <w:rFonts w:hint="default" w:ascii="Times New Roman" w:hAnsi="Times New Roman" w:eastAsia="仿宋_GB2312" w:cs="Times New Roman"/>
                <w:color w:val="auto"/>
                <w:kern w:val="0"/>
                <w:szCs w:val="21"/>
                <w:highlight w:val="none"/>
              </w:rPr>
            </w:pP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本指标主要适用于再生资源类园区，是指园区内再生资源的循环利用量与再生资源收集量的比值。再生资源主要包括但不限于废钢铁、废有色金属、废纸、废塑料、废旧纺织品、废旧木材、废旧轮胎、废矿物油、废弃电器电子产品、报废汽车等。</w:t>
            </w:r>
          </w:p>
        </w:tc>
        <w:tc>
          <w:tcPr>
            <w:tcW w:w="3686" w:type="dxa"/>
            <w:shd w:val="clear" w:color="auto" w:fill="auto"/>
            <w:vAlign w:val="center"/>
          </w:tcPr>
          <w:p>
            <w:pPr>
              <w:widowControl/>
              <w:textAlignment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再生资源回收利用率</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%)=再生资源循环利用量</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万吨</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/再生资源收集量</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万吨</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lang w:val="en-US" w:eastAsia="zh-CN"/>
              </w:rPr>
            </w:pPr>
            <w:r>
              <w:rPr>
                <w:rFonts w:hint="default" w:ascii="Times New Roman" w:hAnsi="Times New Roman" w:eastAsia="仿宋_GB2312" w:cs="Times New Roman"/>
                <w:color w:val="auto"/>
                <w:kern w:val="0"/>
                <w:szCs w:val="21"/>
                <w:highlight w:val="none"/>
                <w:lang w:val="en-US" w:eastAsia="zh-CN"/>
              </w:rPr>
              <w:t>11-1</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一般工业固体废弃物产生强度</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万吨/万元</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lang w:val="en-US" w:eastAsia="zh-CN"/>
              </w:rPr>
            </w:pPr>
            <w:r>
              <w:rPr>
                <w:rFonts w:hint="default" w:ascii="Times New Roman" w:hAnsi="Times New Roman" w:eastAsia="仿宋_GB2312" w:cs="Times New Roman"/>
                <w:color w:val="auto"/>
                <w:kern w:val="0"/>
                <w:szCs w:val="21"/>
                <w:highlight w:val="none"/>
                <w:lang w:val="en-US" w:eastAsia="zh-CN"/>
              </w:rPr>
              <w:t>/</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lang w:val="en-US" w:eastAsia="zh-CN"/>
              </w:rPr>
            </w:pPr>
            <w:r>
              <w:rPr>
                <w:rFonts w:hint="default" w:ascii="Times New Roman" w:hAnsi="Times New Roman" w:eastAsia="仿宋_GB2312" w:cs="Times New Roman"/>
                <w:color w:val="auto"/>
                <w:kern w:val="0"/>
                <w:szCs w:val="21"/>
                <w:highlight w:val="none"/>
                <w:lang w:val="en-US" w:eastAsia="zh-CN"/>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每万元工业增加值的一般工业固体废弃物（不包括工业危险废物）产生量。</w:t>
            </w:r>
          </w:p>
        </w:tc>
        <w:tc>
          <w:tcPr>
            <w:tcW w:w="3686" w:type="dxa"/>
            <w:shd w:val="clear" w:color="auto" w:fill="auto"/>
            <w:vAlign w:val="center"/>
          </w:tcPr>
          <w:p>
            <w:pPr>
              <w:widowControl/>
              <w:textAlignment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一般工业固体废弃物产生强度=一般工业固体废弃物产生量÷工业增加值。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基础设施绿色指标</w:t>
            </w:r>
          </w:p>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(IG)</w:t>
            </w: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12</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污水集中处理设施</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具备</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园区内所有工业废水经预处理达到集中处理要求后进入安装有自动在线监控装置的污水集中处理设施（园区内或园区外）。</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13</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新建工业建筑中绿色建筑的比例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30</w:t>
            </w:r>
          </w:p>
        </w:tc>
        <w:tc>
          <w:tcPr>
            <w:tcW w:w="851" w:type="dxa"/>
            <w:vMerge w:val="restart"/>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2项指标选1项</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园区新建工业建筑中的绿色建筑是按照GB/T50878-2013《绿色工业建筑评价标准》评价，获得二星及以上评级的工业建筑。</w:t>
            </w:r>
          </w:p>
        </w:tc>
        <w:tc>
          <w:tcPr>
            <w:tcW w:w="3686" w:type="dxa"/>
            <w:shd w:val="clear" w:color="auto" w:fill="auto"/>
            <w:vAlign w:val="center"/>
          </w:tcPr>
          <w:p>
            <w:pPr>
              <w:widowControl/>
              <w:textAlignment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新建工业建筑中绿色建筑的比例（%）=新建工业建筑中绿色建筑的面积（m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）/园区新建工业建筑面积（m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14</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新建公共建筑中绿色建筑的比例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60</w:t>
            </w:r>
          </w:p>
        </w:tc>
        <w:tc>
          <w:tcPr>
            <w:tcW w:w="851" w:type="dxa"/>
            <w:vMerge w:val="continue"/>
            <w:vAlign w:val="center"/>
          </w:tcPr>
          <w:p>
            <w:pPr>
              <w:adjustRightInd w:val="0"/>
              <w:snapToGrid w:val="0"/>
              <w:jc w:val="center"/>
              <w:rPr>
                <w:rFonts w:hint="default" w:ascii="Times New Roman" w:hAnsi="Times New Roman" w:eastAsia="仿宋_GB2312" w:cs="Times New Roman"/>
                <w:color w:val="auto"/>
                <w:kern w:val="0"/>
                <w:szCs w:val="21"/>
                <w:highlight w:val="none"/>
              </w:rPr>
            </w:pP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园区新建公共建筑中的绿色建筑是按照GB/T50378-2014《绿色建筑评价标准》评价，获得二星及以上评级的公共建筑。</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新建公共建筑中绿色建筑的比例（%）=新建公共建筑中绿色建筑的面积（m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）/园区新建公共建筑面积（m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15</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500米公交站点覆盖率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90</w:t>
            </w:r>
          </w:p>
        </w:tc>
        <w:tc>
          <w:tcPr>
            <w:tcW w:w="851" w:type="dxa"/>
            <w:vMerge w:val="restart"/>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2项指标选1项</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园区公共交通车站服务覆盖面积的总和占园区建成区面积的百分比。</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具体根据GB 50220计算。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16</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节能与新能源公交车比例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30</w:t>
            </w:r>
          </w:p>
        </w:tc>
        <w:tc>
          <w:tcPr>
            <w:tcW w:w="851" w:type="dxa"/>
            <w:vMerge w:val="continue"/>
            <w:vAlign w:val="center"/>
          </w:tcPr>
          <w:p>
            <w:pPr>
              <w:adjustRightInd w:val="0"/>
              <w:snapToGrid w:val="0"/>
              <w:jc w:val="center"/>
              <w:rPr>
                <w:rFonts w:hint="default" w:ascii="Times New Roman" w:hAnsi="Times New Roman" w:eastAsia="仿宋_GB2312" w:cs="Times New Roman"/>
                <w:color w:val="auto"/>
                <w:kern w:val="0"/>
                <w:szCs w:val="21"/>
                <w:highlight w:val="none"/>
              </w:rPr>
            </w:pP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新能源公交车是指采用新型动力系统，完全或主要依靠新型能源驱动的公交车。非插电式混合动力公交车是指没有外接充电功能的混合动力公交车。新能源公交车和非插电式混合动力公交车合称节能与新能源公交车。</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节能与新能源公交车比例（%）=节能与新能源公交车数量（辆）/园区公交车总量（辆）×100%。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产业绿色指标</w:t>
            </w:r>
          </w:p>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（CG）</w:t>
            </w: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17</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高新技术产业产值占园区工业总产值比例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30</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园区内高新技术企业的工业总产值占园区工业总产值的比值。其中，高新技术企业是指依据《高新技术企业认定管理办法》认定的工业范畴的高新技术企业。</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高新技术产业产值占园区工业总产值比例（%）=高新技术企业的工业产值之和（万元）/工业园区工业总产值（万元）×100%。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18</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绿色产业增加值占园区工业增加值比例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30</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园区内绿色产业的增加值与园区工业增加值的比值。其中，绿色产业增加值是依据国家统计局《战略性新兴产业分类(2018)》中关于节能环保产业和新能源产业的具体分类统计得到。</w:t>
            </w:r>
          </w:p>
        </w:tc>
        <w:tc>
          <w:tcPr>
            <w:tcW w:w="3686"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绿色产业增加值占园区工业增加值比例（%）=绿色产业增加值（万元）/园区工业增加值（万元）×100%。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19</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人均工业增加值</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万元/人</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15</w:t>
            </w:r>
          </w:p>
        </w:tc>
        <w:tc>
          <w:tcPr>
            <w:tcW w:w="851" w:type="dxa"/>
            <w:vMerge w:val="restart"/>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2项指标选1项</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园区工业增加值与园区内工业企业从业人数的比值。</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人均工业增加值（万元/人）=园区工业增加值（万元）/园区年末工业企业从业人数（人）。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20</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现代服务业比例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30</w:t>
            </w:r>
          </w:p>
        </w:tc>
        <w:tc>
          <w:tcPr>
            <w:tcW w:w="851" w:type="dxa"/>
            <w:vMerge w:val="continue"/>
            <w:vAlign w:val="center"/>
          </w:tcPr>
          <w:p>
            <w:pPr>
              <w:adjustRightInd w:val="0"/>
              <w:snapToGrid w:val="0"/>
              <w:jc w:val="center"/>
              <w:rPr>
                <w:rFonts w:hint="default" w:ascii="Times New Roman" w:hAnsi="Times New Roman" w:eastAsia="仿宋_GB2312" w:cs="Times New Roman"/>
                <w:color w:val="auto"/>
                <w:kern w:val="0"/>
                <w:szCs w:val="21"/>
                <w:highlight w:val="none"/>
              </w:rPr>
            </w:pP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为适应现代园区发展的需求，而产生和发展起来的具有高技术含量和高文化含量的服务业。主要包括基础服务（包括通信服务和信息服务）、生产和市场服务（包括金融、物流、批发、电子商务、农业支撑服务以及中介和咨询等专业服务）、个人消费服务（包括教育、医疗保健、住宿、餐饮、文化娱乐、旅游、房地产、商品零售等）和公共服务（包括政府的公共管理服务、基础教育、公共卫生、医疗以及公益性信息服务等）。</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现代服务业比例（%）=现代服务业增加值（万元）/园区GDP×100%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生态环境绿色指标</w:t>
            </w:r>
          </w:p>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（HG）</w:t>
            </w: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21</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工业固体废弃物（含危废）处置利用率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100</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是指报告期内园区范围内各工业企业安全处置、综合利用及安全贮存的工业固体废物量（含危险废物）之和与当年工业固体废物总产生量的比值。</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工业固体废弃物（含危废）处置利用率（%）=园区当年工业固体废物处置利用量（含危险废物）（t）/园区当年工业固体废物总产生量（t）×100%。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22</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万元工业增加值碳排放量消减率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指报告期内园区内工业企业产生单位工业增加值所排放的二氧化碳当量的创建期年均消减率。创建期是指绿色</w:t>
            </w:r>
            <w:r>
              <w:rPr>
                <w:rFonts w:hint="default" w:ascii="Times New Roman" w:hAnsi="Times New Roman" w:eastAsia="仿宋_GB2312" w:cs="Times New Roman"/>
                <w:color w:val="auto"/>
                <w:szCs w:val="21"/>
                <w:highlight w:val="none"/>
                <w:lang w:val="en-US" w:eastAsia="zh-CN"/>
              </w:rPr>
              <w:t>工业</w:t>
            </w:r>
            <w:r>
              <w:rPr>
                <w:rFonts w:hint="default" w:ascii="Times New Roman" w:hAnsi="Times New Roman" w:eastAsia="仿宋_GB2312" w:cs="Times New Roman"/>
                <w:color w:val="auto"/>
                <w:szCs w:val="21"/>
                <w:highlight w:val="none"/>
              </w:rPr>
              <w:t>园区创建周期。</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万元工业增加值碳排放量消减率（%）=[1-验收年单位工业增加值二氧化碳排放量</w:t>
            </w:r>
            <w:r>
              <w:rPr>
                <w:rFonts w:hint="default" w:ascii="Times New Roman" w:hAnsi="Times New Roman" w:eastAsia="仿宋_GB2312" w:cs="Times New Roman"/>
                <w:color w:val="auto"/>
                <w:kern w:val="0"/>
                <w:szCs w:val="21"/>
                <w:highlight w:val="none"/>
                <w:lang w:eastAsia="zh-CN"/>
              </w:rPr>
              <w:t>（</w:t>
            </w:r>
            <w:r>
              <w:rPr>
                <w:rFonts w:hint="default" w:ascii="Times New Roman" w:hAnsi="Times New Roman" w:eastAsia="仿宋_GB2312" w:cs="Times New Roman"/>
                <w:color w:val="auto"/>
                <w:kern w:val="0"/>
                <w:szCs w:val="21"/>
                <w:highlight w:val="none"/>
              </w:rPr>
              <w:t>tCO</w:t>
            </w:r>
            <w:r>
              <w:rPr>
                <w:rFonts w:hint="default" w:ascii="Times New Roman" w:hAnsi="Times New Roman" w:eastAsia="仿宋_GB2312" w:cs="Times New Roman"/>
                <w:color w:val="auto"/>
                <w:kern w:val="0"/>
                <w:szCs w:val="21"/>
                <w:highlight w:val="none"/>
                <w:vertAlign w:val="subscript"/>
              </w:rPr>
              <w:t>2</w:t>
            </w:r>
            <w:r>
              <w:rPr>
                <w:rFonts w:hint="default" w:ascii="Times New Roman" w:hAnsi="Times New Roman" w:eastAsia="仿宋_GB2312" w:cs="Times New Roman"/>
                <w:color w:val="auto"/>
                <w:kern w:val="0"/>
                <w:szCs w:val="21"/>
                <w:highlight w:val="none"/>
              </w:rPr>
              <w:t>eq./万元）/创建基准年单位工业增加值二氧化碳排放量（tCO</w:t>
            </w:r>
            <w:r>
              <w:rPr>
                <w:rFonts w:hint="default" w:ascii="Times New Roman" w:hAnsi="Times New Roman" w:eastAsia="仿宋_GB2312" w:cs="Times New Roman"/>
                <w:color w:val="auto"/>
                <w:kern w:val="0"/>
                <w:szCs w:val="21"/>
                <w:highlight w:val="none"/>
                <w:vertAlign w:val="subscript"/>
              </w:rPr>
              <w:t>2</w:t>
            </w:r>
            <w:r>
              <w:rPr>
                <w:rFonts w:hint="default" w:ascii="Times New Roman" w:hAnsi="Times New Roman" w:eastAsia="仿宋_GB2312" w:cs="Times New Roman"/>
                <w:color w:val="auto"/>
                <w:kern w:val="0"/>
                <w:szCs w:val="21"/>
                <w:highlight w:val="none"/>
              </w:rPr>
              <w:t>eq./万元）1/创建周期]×100%。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23</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单位工业增加值废水排放量</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t/万元</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5</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园区单位工业增加值排放的工业废水量，不包括企业梯级利用的废水和园区内居民排放的生活废水。</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单位工业增加值废水排放量（t/万元）=园区工业废水排放总量（t）/园区工业增加值总量（万元）。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24</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主要污染物弹性系数</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0.3</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指园区内工业企业排放的各类主要污染物排放弹性系数的算术平均值。其中，主要污染物指从创建基准年到验收年，国家政策明确要求总量减排和控制的污染物，包括COD、SO</w:t>
            </w:r>
            <w:r>
              <w:rPr>
                <w:rFonts w:hint="default" w:ascii="Times New Roman" w:hAnsi="Times New Roman" w:eastAsia="仿宋_GB2312" w:cs="Times New Roman"/>
                <w:color w:val="auto"/>
                <w:szCs w:val="21"/>
                <w:highlight w:val="none"/>
                <w:vertAlign w:val="subscript"/>
              </w:rPr>
              <w:t>2</w:t>
            </w:r>
            <w:r>
              <w:rPr>
                <w:rFonts w:hint="default" w:ascii="Times New Roman" w:hAnsi="Times New Roman" w:eastAsia="仿宋_GB2312" w:cs="Times New Roman"/>
                <w:color w:val="auto"/>
                <w:szCs w:val="21"/>
                <w:highlight w:val="none"/>
              </w:rPr>
              <w:t>、氨氮、NO</w:t>
            </w:r>
            <w:r>
              <w:rPr>
                <w:rFonts w:hint="default" w:ascii="Times New Roman" w:hAnsi="Times New Roman" w:eastAsia="仿宋_GB2312" w:cs="Times New Roman"/>
                <w:color w:val="auto"/>
                <w:szCs w:val="21"/>
                <w:highlight w:val="none"/>
                <w:vertAlign w:val="subscript"/>
              </w:rPr>
              <w:t>X</w:t>
            </w:r>
            <w:r>
              <w:rPr>
                <w:rFonts w:hint="default" w:ascii="Times New Roman" w:hAnsi="Times New Roman" w:eastAsia="仿宋_GB2312" w:cs="Times New Roman"/>
                <w:color w:val="auto"/>
                <w:szCs w:val="21"/>
                <w:highlight w:val="none"/>
              </w:rPr>
              <w:t>等。某种主要污染物排放弹性系数，指园区内工业企业排放的某一种主要污染物排放总量的三年年均增长率与工业增加值三年年均增长率的比值。</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某种污染物排放弹性系数=某种污染物排放量创建周期年均增长率（%）/园区工业增加值创建周期年均增长率（%）；主要污染物排放弹性系数=主要污染物排放弹性系数之和/污染物个数。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25</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园区空气质量优良率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80</w:t>
            </w:r>
          </w:p>
        </w:tc>
        <w:tc>
          <w:tcPr>
            <w:tcW w:w="851"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指空气质量优良天数占全年天数的比例。空气质量优良等级按照GB 3085《环境空气质量标准》确定。</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园区空气质量优良率（%）=空气质量优良天数（天）/全年天数（天）×100%。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26</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绿化覆盖率</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30</w:t>
            </w:r>
          </w:p>
        </w:tc>
        <w:tc>
          <w:tcPr>
            <w:tcW w:w="851" w:type="dxa"/>
            <w:vMerge w:val="restart"/>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3项指标选1项</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园区内各类绿地总面积与园区规划范围内用地总面积的比值。</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绿</w:t>
            </w:r>
            <w:r>
              <w:rPr>
                <w:rFonts w:hint="default" w:ascii="Times New Roman" w:hAnsi="Times New Roman" w:eastAsia="仿宋_GB2312" w:cs="Times New Roman"/>
                <w:color w:val="auto"/>
                <w:kern w:val="0"/>
                <w:szCs w:val="21"/>
                <w:highlight w:val="none"/>
                <w:lang w:val="en-US" w:eastAsia="zh-CN"/>
              </w:rPr>
              <w:t>化</w:t>
            </w:r>
            <w:r>
              <w:rPr>
                <w:rFonts w:hint="default" w:ascii="Times New Roman" w:hAnsi="Times New Roman" w:eastAsia="仿宋_GB2312" w:cs="Times New Roman"/>
                <w:color w:val="auto"/>
                <w:kern w:val="0"/>
                <w:szCs w:val="21"/>
                <w:highlight w:val="none"/>
              </w:rPr>
              <w:t>覆盖率（%）=园区内各类绿地总面积（m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）/园区用地总面积（m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27</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道路遮荫比例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80</w:t>
            </w:r>
          </w:p>
        </w:tc>
        <w:tc>
          <w:tcPr>
            <w:tcW w:w="851" w:type="dxa"/>
            <w:vMerge w:val="continue"/>
            <w:vAlign w:val="center"/>
          </w:tcPr>
          <w:p>
            <w:pPr>
              <w:adjustRightInd w:val="0"/>
              <w:snapToGrid w:val="0"/>
              <w:jc w:val="center"/>
              <w:rPr>
                <w:rFonts w:hint="default" w:ascii="Times New Roman" w:hAnsi="Times New Roman" w:eastAsia="仿宋_GB2312" w:cs="Times New Roman"/>
                <w:color w:val="auto"/>
                <w:kern w:val="0"/>
                <w:szCs w:val="21"/>
                <w:highlight w:val="none"/>
              </w:rPr>
            </w:pP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指道路两旁树冠垂直投影遮蔽的总阴影面积与步行道路总面积的比值。</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道路遮荫比例（%）=道路两旁树冠垂直投影遮蔽的总阴影面积（m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）/步行道路总面积（m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28</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露天停车场遮荫比例</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80</w:t>
            </w:r>
          </w:p>
        </w:tc>
        <w:tc>
          <w:tcPr>
            <w:tcW w:w="851" w:type="dxa"/>
            <w:vMerge w:val="continue"/>
            <w:vAlign w:val="center"/>
          </w:tcPr>
          <w:p>
            <w:pPr>
              <w:adjustRightInd w:val="0"/>
              <w:snapToGrid w:val="0"/>
              <w:jc w:val="center"/>
              <w:rPr>
                <w:rFonts w:hint="default" w:ascii="Times New Roman" w:hAnsi="Times New Roman" w:eastAsia="仿宋_GB2312" w:cs="Times New Roman"/>
                <w:color w:val="auto"/>
                <w:kern w:val="0"/>
                <w:szCs w:val="21"/>
                <w:highlight w:val="none"/>
              </w:rPr>
            </w:pP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指露天停车场树冠垂直投影遮蔽的总阴影面积与露天停车场总面积的比值。</w:t>
            </w:r>
          </w:p>
        </w:tc>
        <w:tc>
          <w:tcPr>
            <w:tcW w:w="3686" w:type="dxa"/>
            <w:shd w:val="clear" w:color="auto" w:fill="auto"/>
            <w:vAlign w:val="center"/>
          </w:tcPr>
          <w:p>
            <w:pPr>
              <w:adjustRightInd w:val="0"/>
              <w:snapToGrid w:val="0"/>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露天停车场遮荫比例（%）=露天停车场树冠垂直投影遮蔽的总阴影面积（m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）/露天停车场总面积（m</w:t>
            </w:r>
            <w:r>
              <w:rPr>
                <w:rFonts w:hint="default" w:ascii="Times New Roman" w:hAnsi="Times New Roman" w:eastAsia="仿宋_GB2312" w:cs="Times New Roman"/>
                <w:color w:val="auto"/>
                <w:kern w:val="0"/>
                <w:szCs w:val="21"/>
                <w:highlight w:val="none"/>
                <w:vertAlign w:val="superscript"/>
              </w:rPr>
              <w:t>2</w:t>
            </w:r>
            <w:r>
              <w:rPr>
                <w:rFonts w:hint="default" w:ascii="Times New Roman" w:hAnsi="Times New Roman" w:eastAsia="仿宋_GB2312" w:cs="Times New Roman"/>
                <w:color w:val="auto"/>
                <w:kern w:val="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运行管理绿色指标（MG）</w:t>
            </w: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29</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绿色</w:t>
            </w:r>
            <w:r>
              <w:rPr>
                <w:rFonts w:hint="default" w:ascii="Times New Roman" w:hAnsi="Times New Roman" w:eastAsia="仿宋_GB2312" w:cs="Times New Roman"/>
                <w:color w:val="auto"/>
                <w:kern w:val="0"/>
                <w:szCs w:val="21"/>
                <w:highlight w:val="none"/>
                <w:lang w:val="en-US" w:eastAsia="zh-CN"/>
              </w:rPr>
              <w:t>工业</w:t>
            </w:r>
            <w:r>
              <w:rPr>
                <w:rFonts w:hint="default" w:ascii="Times New Roman" w:hAnsi="Times New Roman" w:eastAsia="仿宋_GB2312" w:cs="Times New Roman"/>
                <w:color w:val="auto"/>
                <w:kern w:val="0"/>
                <w:szCs w:val="21"/>
                <w:highlight w:val="none"/>
              </w:rPr>
              <w:t>园区标准体系完善程度</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widowControl/>
              <w:jc w:val="center"/>
              <w:textAlignment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完善</w:t>
            </w:r>
          </w:p>
        </w:tc>
        <w:tc>
          <w:tcPr>
            <w:tcW w:w="851" w:type="dxa"/>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主要考核是否建立与其产业链和主导产业相适应的绿色</w:t>
            </w:r>
            <w:r>
              <w:rPr>
                <w:rFonts w:hint="default" w:ascii="Times New Roman" w:hAnsi="Times New Roman" w:eastAsia="仿宋_GB2312" w:cs="Times New Roman"/>
                <w:color w:val="auto"/>
                <w:szCs w:val="21"/>
                <w:highlight w:val="none"/>
                <w:lang w:val="en-US" w:eastAsia="zh-CN"/>
              </w:rPr>
              <w:t>工业</w:t>
            </w:r>
            <w:r>
              <w:rPr>
                <w:rFonts w:hint="default" w:ascii="Times New Roman" w:hAnsi="Times New Roman" w:eastAsia="仿宋_GB2312" w:cs="Times New Roman"/>
                <w:color w:val="auto"/>
                <w:szCs w:val="21"/>
                <w:highlight w:val="none"/>
              </w:rPr>
              <w:t>园区标准体系，具体包括能源利用绿色化标准、资源利用绿色化标准、基础设施绿色化标准、产业绿色化标准、生态环境绿色化标准等；是否制定监管强制性绿色相关标准执行的有关制度文件；是否开展绿色相关标准的宣贯和培训等。</w:t>
            </w:r>
          </w:p>
        </w:tc>
        <w:tc>
          <w:tcPr>
            <w:tcW w:w="3686" w:type="dxa"/>
            <w:shd w:val="clear" w:color="auto" w:fill="auto"/>
            <w:vAlign w:val="center"/>
          </w:tcPr>
          <w:p>
            <w:pPr>
              <w:rPr>
                <w:rFonts w:hint="default" w:ascii="Times New Roman" w:hAnsi="Times New Roman" w:eastAsia="仿宋_GB2312" w:cs="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30</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编制绿色</w:t>
            </w:r>
            <w:r>
              <w:rPr>
                <w:rFonts w:hint="default" w:ascii="Times New Roman" w:hAnsi="Times New Roman" w:eastAsia="仿宋_GB2312" w:cs="Times New Roman"/>
                <w:color w:val="auto"/>
                <w:kern w:val="0"/>
                <w:szCs w:val="21"/>
                <w:highlight w:val="none"/>
                <w:lang w:val="en-US" w:eastAsia="zh-CN"/>
              </w:rPr>
              <w:t>工业</w:t>
            </w:r>
            <w:r>
              <w:rPr>
                <w:rFonts w:hint="default" w:ascii="Times New Roman" w:hAnsi="Times New Roman" w:eastAsia="仿宋_GB2312" w:cs="Times New Roman"/>
                <w:color w:val="auto"/>
                <w:kern w:val="0"/>
                <w:szCs w:val="21"/>
                <w:highlight w:val="none"/>
              </w:rPr>
              <w:t>园区发展规划</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widowControl/>
              <w:jc w:val="center"/>
              <w:textAlignment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是</w:t>
            </w:r>
          </w:p>
        </w:tc>
        <w:tc>
          <w:tcPr>
            <w:tcW w:w="851" w:type="dxa"/>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按照本实施方案的创建内容编制绿色</w:t>
            </w:r>
            <w:r>
              <w:rPr>
                <w:rFonts w:hint="default" w:ascii="Times New Roman" w:hAnsi="Times New Roman" w:eastAsia="仿宋_GB2312" w:cs="Times New Roman"/>
                <w:color w:val="auto"/>
                <w:szCs w:val="21"/>
                <w:highlight w:val="none"/>
                <w:lang w:val="en-US" w:eastAsia="zh-CN"/>
              </w:rPr>
              <w:t>工业</w:t>
            </w:r>
            <w:r>
              <w:rPr>
                <w:rFonts w:hint="default" w:ascii="Times New Roman" w:hAnsi="Times New Roman" w:eastAsia="仿宋_GB2312" w:cs="Times New Roman"/>
                <w:color w:val="auto"/>
                <w:szCs w:val="21"/>
                <w:highlight w:val="none"/>
              </w:rPr>
              <w:t>园区发展规划，原则上每五年编制一次。</w:t>
            </w:r>
          </w:p>
        </w:tc>
        <w:tc>
          <w:tcPr>
            <w:tcW w:w="3686" w:type="dxa"/>
            <w:shd w:val="clear" w:color="auto" w:fill="auto"/>
            <w:vAlign w:val="center"/>
          </w:tcPr>
          <w:p>
            <w:pPr>
              <w:rPr>
                <w:rFonts w:hint="default" w:ascii="Times New Roman" w:hAnsi="Times New Roman" w:eastAsia="仿宋_GB2312" w:cs="Times New Roman"/>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Cs w:val="21"/>
                <w:highlight w:val="none"/>
              </w:rPr>
            </w:pPr>
          </w:p>
        </w:tc>
        <w:tc>
          <w:tcPr>
            <w:tcW w:w="525" w:type="dxa"/>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31</w:t>
            </w:r>
          </w:p>
        </w:tc>
        <w:tc>
          <w:tcPr>
            <w:tcW w:w="883"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绿色</w:t>
            </w:r>
            <w:r>
              <w:rPr>
                <w:rFonts w:hint="default" w:ascii="Times New Roman" w:hAnsi="Times New Roman" w:eastAsia="仿宋_GB2312" w:cs="Times New Roman"/>
                <w:color w:val="auto"/>
                <w:kern w:val="0"/>
                <w:szCs w:val="21"/>
                <w:highlight w:val="none"/>
                <w:lang w:val="en-US" w:eastAsia="zh-CN"/>
              </w:rPr>
              <w:t>工业</w:t>
            </w:r>
            <w:r>
              <w:rPr>
                <w:rFonts w:hint="default" w:ascii="Times New Roman" w:hAnsi="Times New Roman" w:eastAsia="仿宋_GB2312" w:cs="Times New Roman"/>
                <w:color w:val="auto"/>
                <w:kern w:val="0"/>
                <w:szCs w:val="21"/>
                <w:highlight w:val="none"/>
              </w:rPr>
              <w:t>园区信息平台完善程度</w:t>
            </w:r>
          </w:p>
        </w:tc>
        <w:tc>
          <w:tcPr>
            <w:tcW w:w="709" w:type="dxa"/>
            <w:shd w:val="clear" w:color="auto" w:fill="auto"/>
            <w:vAlign w:val="center"/>
          </w:tcPr>
          <w:p>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708" w:type="dxa"/>
            <w:vAlign w:val="center"/>
          </w:tcPr>
          <w:p>
            <w:pPr>
              <w:widowControl/>
              <w:jc w:val="center"/>
              <w:textAlignment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完善</w:t>
            </w:r>
          </w:p>
        </w:tc>
        <w:tc>
          <w:tcPr>
            <w:tcW w:w="851" w:type="dxa"/>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kern w:val="0"/>
                <w:szCs w:val="21"/>
                <w:highlight w:val="none"/>
              </w:rPr>
              <w:t>必选</w:t>
            </w:r>
          </w:p>
        </w:tc>
        <w:tc>
          <w:tcPr>
            <w:tcW w:w="5953" w:type="dxa"/>
            <w:shd w:val="clear" w:color="auto" w:fill="auto"/>
            <w:vAlign w:val="center"/>
          </w:tcPr>
          <w:p>
            <w:pPr>
              <w:widowControl/>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主要考核是否创建局域网；是否定期在园区管委会网站、局域网或相关网站上发布绿色</w:t>
            </w:r>
            <w:r>
              <w:rPr>
                <w:rFonts w:hint="default" w:ascii="Times New Roman" w:hAnsi="Times New Roman" w:eastAsia="仿宋_GB2312" w:cs="Times New Roman"/>
                <w:color w:val="auto"/>
                <w:szCs w:val="21"/>
                <w:highlight w:val="none"/>
                <w:lang w:val="en-US" w:eastAsia="zh-CN"/>
              </w:rPr>
              <w:t>工业</w:t>
            </w:r>
            <w:r>
              <w:rPr>
                <w:rFonts w:hint="default" w:ascii="Times New Roman" w:hAnsi="Times New Roman" w:eastAsia="仿宋_GB2312" w:cs="Times New Roman"/>
                <w:color w:val="auto"/>
                <w:szCs w:val="21"/>
                <w:highlight w:val="none"/>
              </w:rPr>
              <w:t>园区建设和改造信息；是否在园区局域网上有园区主导行业清洁生产技术信息（主要包括原材料选择、节水、节能、环保等方面）、废物资源化技术信息、绿色建筑技术信息、绿色交通技术信息等。</w:t>
            </w:r>
          </w:p>
        </w:tc>
        <w:tc>
          <w:tcPr>
            <w:tcW w:w="3686" w:type="dxa"/>
            <w:shd w:val="clear" w:color="auto" w:fill="auto"/>
            <w:vAlign w:val="center"/>
          </w:tcPr>
          <w:p>
            <w:pPr>
              <w:pStyle w:val="17"/>
              <w:rPr>
                <w:rFonts w:hint="default" w:ascii="Times New Roman" w:hAnsi="Times New Roman" w:eastAsia="仿宋_GB2312" w:cs="Times New Roman"/>
                <w:color w:val="auto"/>
                <w:szCs w:val="21"/>
                <w:highlight w:val="none"/>
              </w:rPr>
            </w:pPr>
          </w:p>
        </w:tc>
      </w:tr>
    </w:tbl>
    <w:p>
      <w:pPr>
        <w:pStyle w:val="49"/>
        <w:spacing w:line="360" w:lineRule="auto"/>
        <w:rPr>
          <w:rFonts w:hint="default" w:ascii="Times New Roman" w:hAnsi="Times New Roman" w:eastAsia="黑体" w:cs="Times New Roman"/>
          <w:color w:val="auto"/>
          <w:sz w:val="30"/>
          <w:szCs w:val="30"/>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4"/>
        <w:bidi w:val="0"/>
        <w:ind w:firstLine="640" w:firstLineChars="200"/>
        <w:outlineLvl w:val="0"/>
        <w:rPr>
          <w:rFonts w:hint="default" w:ascii="Times New Roman" w:hAnsi="Times New Roman" w:eastAsia="黑体" w:cs="Times New Roman"/>
          <w:b w:val="0"/>
          <w:bCs w:val="0"/>
          <w:color w:val="auto"/>
          <w:highlight w:val="none"/>
          <w:lang w:val="en-US" w:eastAsia="zh-CN"/>
        </w:rPr>
      </w:pPr>
      <w:bookmarkStart w:id="33" w:name="_Toc4485"/>
      <w:bookmarkStart w:id="34" w:name="_Toc18132"/>
      <w:r>
        <w:rPr>
          <w:rFonts w:hint="default" w:ascii="Times New Roman" w:hAnsi="Times New Roman" w:eastAsia="黑体" w:cs="Times New Roman"/>
          <w:b w:val="0"/>
          <w:bCs w:val="0"/>
          <w:color w:val="auto"/>
          <w:highlight w:val="none"/>
          <w:lang w:val="en-US" w:eastAsia="zh-CN"/>
        </w:rPr>
        <w:t>五、绿色供应链管理评价要求</w:t>
      </w:r>
      <w:bookmarkEnd w:id="33"/>
      <w:bookmarkEnd w:id="34"/>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bookmarkStart w:id="35" w:name="_Toc2211"/>
      <w:bookmarkStart w:id="36" w:name="_Toc1683"/>
      <w:r>
        <w:rPr>
          <w:rFonts w:hint="default" w:ascii="Times New Roman" w:hAnsi="Times New Roman" w:eastAsia="楷体" w:cs="Times New Roman"/>
          <w:b w:val="0"/>
          <w:bCs w:val="0"/>
          <w:color w:val="auto"/>
          <w:sz w:val="32"/>
          <w:szCs w:val="36"/>
          <w:highlight w:val="none"/>
          <w:lang w:val="en-US" w:eastAsia="zh-CN"/>
        </w:rPr>
        <w:t>（一）基本要求</w:t>
      </w:r>
      <w:bookmarkEnd w:id="35"/>
      <w:bookmarkEnd w:id="36"/>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rPr>
        <w:t xml:space="preserve">1. </w:t>
      </w:r>
      <w:r>
        <w:rPr>
          <w:rFonts w:hint="default" w:ascii="Times New Roman" w:hAnsi="Times New Roman" w:eastAsia="仿宋_GB2312" w:cs="Times New Roman"/>
          <w:color w:val="auto"/>
          <w:kern w:val="0"/>
          <w:sz w:val="32"/>
          <w:szCs w:val="32"/>
          <w:highlight w:val="none"/>
          <w:lang w:val="en-US" w:eastAsia="zh-CN"/>
        </w:rPr>
        <w:t>符合</w:t>
      </w:r>
      <w:r>
        <w:rPr>
          <w:rFonts w:hint="default" w:ascii="Times New Roman" w:hAnsi="Times New Roman" w:eastAsia="仿宋_GB2312" w:cs="Times New Roman"/>
          <w:color w:val="auto"/>
          <w:kern w:val="0"/>
          <w:sz w:val="32"/>
          <w:szCs w:val="32"/>
          <w:highlight w:val="none"/>
        </w:rPr>
        <w:t>《绿色制造 制造企业绿色供应链管理 评价规范》（GB/T 39257-2020）</w:t>
      </w:r>
      <w:r>
        <w:rPr>
          <w:rFonts w:hint="default" w:ascii="Times New Roman" w:hAnsi="Times New Roman" w:eastAsia="仿宋_GB2312" w:cs="Times New Roman"/>
          <w:color w:val="auto"/>
          <w:kern w:val="0"/>
          <w:sz w:val="32"/>
          <w:szCs w:val="32"/>
          <w:highlight w:val="none"/>
          <w:lang w:val="en-US" w:eastAsia="zh-CN"/>
        </w:rPr>
        <w:t>中的企业基本要求。</w:t>
      </w:r>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2. 具有较强的行业影响力</w:t>
      </w:r>
      <w:r>
        <w:rPr>
          <w:rFonts w:hint="default" w:ascii="Times New Roman" w:hAnsi="Times New Roman" w:eastAsia="仿宋_GB2312" w:cs="Times New Roman"/>
          <w:color w:val="auto"/>
          <w:kern w:val="0"/>
          <w:sz w:val="32"/>
          <w:szCs w:val="32"/>
          <w:highlight w:val="none"/>
          <w:lang w:eastAsia="zh-CN"/>
        </w:rPr>
        <w:t>。</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bookmarkStart w:id="37" w:name="_Toc17609"/>
      <w:bookmarkStart w:id="38" w:name="_Toc17967"/>
      <w:r>
        <w:rPr>
          <w:rFonts w:hint="default" w:ascii="Times New Roman" w:hAnsi="Times New Roman" w:eastAsia="楷体" w:cs="Times New Roman"/>
          <w:b w:val="0"/>
          <w:bCs w:val="0"/>
          <w:color w:val="auto"/>
          <w:sz w:val="32"/>
          <w:szCs w:val="36"/>
          <w:highlight w:val="none"/>
          <w:lang w:val="en-US" w:eastAsia="zh-CN"/>
        </w:rPr>
        <w:t>（二）评价说明</w:t>
      </w:r>
      <w:bookmarkEnd w:id="37"/>
      <w:bookmarkEnd w:id="38"/>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bidi="ar-SA"/>
        </w:rPr>
        <w:t>按照附件3要求</w:t>
      </w:r>
      <w:r>
        <w:rPr>
          <w:rFonts w:hint="default" w:ascii="Times New Roman" w:hAnsi="Times New Roman" w:eastAsia="仿宋_GB2312" w:cs="Times New Roman"/>
          <w:color w:val="auto"/>
          <w:kern w:val="0"/>
          <w:sz w:val="32"/>
          <w:szCs w:val="32"/>
          <w:highlight w:val="none"/>
          <w:lang w:val="en-US" w:eastAsia="zh-CN"/>
        </w:rPr>
        <w:t>及相关标准</w:t>
      </w:r>
      <w:r>
        <w:rPr>
          <w:rFonts w:hint="default" w:ascii="Times New Roman" w:hAnsi="Times New Roman" w:eastAsia="仿宋_GB2312" w:cs="Times New Roman"/>
          <w:color w:val="auto"/>
          <w:kern w:val="0"/>
          <w:sz w:val="32"/>
          <w:szCs w:val="32"/>
          <w:highlight w:val="none"/>
          <w:lang w:val="en-US" w:eastAsia="zh-CN" w:bidi="ar-SA"/>
        </w:rPr>
        <w:t>编制《绿色供应链管理企业评价报告》。</w:t>
      </w:r>
      <w:r>
        <w:rPr>
          <w:rFonts w:hint="default" w:ascii="Times New Roman" w:hAnsi="Times New Roman" w:eastAsia="仿宋_GB2312" w:cs="Times New Roman"/>
          <w:color w:val="auto"/>
          <w:kern w:val="0"/>
          <w:sz w:val="32"/>
          <w:szCs w:val="32"/>
          <w:highlight w:val="none"/>
          <w:lang w:val="en-US" w:eastAsia="zh-CN"/>
        </w:rPr>
        <w:t>本《指南》所列的相关标准如更新的，则以更新版本为准。</w:t>
      </w: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bookmarkStart w:id="39" w:name="_Toc28856"/>
      <w:bookmarkStart w:id="40" w:name="_Toc19731"/>
      <w:r>
        <w:rPr>
          <w:rFonts w:hint="default" w:ascii="Times New Roman" w:hAnsi="Times New Roman" w:eastAsia="楷体" w:cs="Times New Roman"/>
          <w:b w:val="0"/>
          <w:bCs w:val="0"/>
          <w:color w:val="auto"/>
          <w:sz w:val="32"/>
          <w:szCs w:val="36"/>
          <w:highlight w:val="none"/>
          <w:lang w:val="en-US" w:eastAsia="zh-CN"/>
        </w:rPr>
        <w:t>（三）评价依据</w:t>
      </w:r>
      <w:bookmarkEnd w:id="39"/>
      <w:bookmarkEnd w:id="40"/>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1.《绿色制造 制造企业绿色供应链管理 评价规范》（GB/T 39257-2020）</w:t>
      </w:r>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2.《工业和信息化部办公厅关于开展绿色制造体系建设的通知》（工信厅节函〔2016〕586号）附件3《绿色供应链管理评价要求》。已发布相关行业标准、团体标准的，按照具体行业标准进行评价，无行业标准的鼓励参考团体标准进行评价</w:t>
      </w:r>
      <w:r>
        <w:rPr>
          <w:rFonts w:hint="eastAsia" w:ascii="Times New Roman" w:hAnsi="Times New Roman" w:eastAsia="仿宋_GB2312" w:cs="Times New Roman"/>
          <w:color w:val="auto"/>
          <w:kern w:val="0"/>
          <w:sz w:val="32"/>
          <w:szCs w:val="32"/>
          <w:highlight w:val="none"/>
          <w:lang w:val="en-US" w:eastAsia="zh-CN"/>
        </w:rPr>
        <w:t>，其中，</w:t>
      </w:r>
      <w:r>
        <w:rPr>
          <w:rFonts w:hint="default" w:ascii="Times New Roman" w:hAnsi="Times New Roman" w:eastAsia="仿宋_GB2312" w:cs="Times New Roman"/>
          <w:color w:val="auto"/>
          <w:kern w:val="0"/>
          <w:sz w:val="32"/>
          <w:szCs w:val="32"/>
          <w:highlight w:val="none"/>
          <w:lang w:val="en-US" w:eastAsia="zh-CN"/>
        </w:rPr>
        <w:t>电子电器、机械、汽车3个行业，按照《机械行业绿色供应链管理企业评价指标体系》《汽车行业绿色供应链管理企业评价指标体系》《电子电器行业绿色供应链管理企业评价指标体系》及相关行业标准进行评价。</w:t>
      </w:r>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3.绿色供应链评价标准详见表6、表7。</w:t>
      </w:r>
    </w:p>
    <w:p>
      <w:pPr>
        <w:pStyle w:val="47"/>
        <w:rPr>
          <w:rFonts w:hint="default" w:ascii="Times New Roman" w:hAnsi="Times New Roman" w:cs="Times New Roman"/>
          <w:color w:val="auto"/>
          <w:highlight w:val="none"/>
          <w:lang w:val="en-US" w:eastAsia="zh-CN"/>
        </w:rPr>
      </w:pPr>
    </w:p>
    <w:p>
      <w:pPr>
        <w:pStyle w:val="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 绿色供应链评价标准</w:t>
      </w:r>
    </w:p>
    <w:tbl>
      <w:tblPr>
        <w:tblStyle w:val="37"/>
        <w:tblW w:w="5675" w:type="pct"/>
        <w:tblInd w:w="-4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2000"/>
        <w:gridCol w:w="5532"/>
        <w:gridCol w:w="1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序号</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标准号</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标准名称</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实施日期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国家标准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i w:val="0"/>
                <w:iCs w:val="0"/>
                <w:color w:val="auto"/>
                <w:kern w:val="0"/>
                <w:sz w:val="24"/>
                <w:szCs w:val="24"/>
                <w:highlight w:val="none"/>
                <w:u w:val="none"/>
                <w:lang w:val="en-US" w:eastAsia="zh-CN" w:bidi="ar"/>
              </w:rPr>
              <w:t>1</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Style w:val="44"/>
                <w:rFonts w:hint="default" w:ascii="Times New Roman" w:hAnsi="Times New Roman" w:eastAsia="仿宋_GB2312" w:cs="Times New Roman"/>
                <w:i w:val="0"/>
                <w:iCs w:val="0"/>
                <w:color w:val="auto"/>
                <w:sz w:val="24"/>
                <w:szCs w:val="24"/>
                <w:highlight w:val="none"/>
                <w:u w:val="none"/>
              </w:rPr>
              <w:t>GB/T</w:t>
            </w:r>
            <w:r>
              <w:rPr>
                <w:rStyle w:val="44"/>
                <w:rFonts w:hint="eastAsia" w:ascii="Times New Roman" w:hAnsi="Times New Roman" w:eastAsia="仿宋_GB2312" w:cs="Times New Roman"/>
                <w:i w:val="0"/>
                <w:iCs w:val="0"/>
                <w:color w:val="auto"/>
                <w:sz w:val="24"/>
                <w:szCs w:val="24"/>
                <w:highlight w:val="none"/>
                <w:u w:val="none"/>
                <w:lang w:val="en-US" w:eastAsia="zh-CN"/>
              </w:rPr>
              <w:t xml:space="preserve"> 43145-2023</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Style w:val="44"/>
                <w:rFonts w:hint="default" w:ascii="Times New Roman" w:hAnsi="Times New Roman" w:eastAsia="仿宋_GB2312" w:cs="Times New Roman"/>
                <w:i w:val="0"/>
                <w:iCs w:val="0"/>
                <w:color w:val="auto"/>
                <w:sz w:val="24"/>
                <w:szCs w:val="24"/>
                <w:highlight w:val="none"/>
                <w:u w:val="none"/>
              </w:rPr>
              <w:t>绿色制造 制造企业绿色供应链管理</w:t>
            </w:r>
            <w:r>
              <w:rPr>
                <w:rStyle w:val="44"/>
                <w:rFonts w:hint="eastAsia" w:ascii="Times New Roman" w:hAnsi="Times New Roman" w:eastAsia="仿宋_GB2312" w:cs="Times New Roman"/>
                <w:i w:val="0"/>
                <w:iCs w:val="0"/>
                <w:color w:val="auto"/>
                <w:sz w:val="24"/>
                <w:szCs w:val="24"/>
                <w:highlight w:val="none"/>
                <w:u w:val="none"/>
                <w:lang w:val="en-US" w:eastAsia="zh-CN"/>
              </w:rPr>
              <w:t xml:space="preserve"> 逆向物流</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2024/1/1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GB/T 41505-2022</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电子信息制造企业绿色供应链管理规范</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GB/T 39258-2020</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绿色制造 制造企业绿色供应链管理 采购控制</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GB/T 39256-2020</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绿色制造 制造企业绿色供应链管理 信息化管理平台规范</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GB/T 39259-2020</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绿色制造 制造企业绿色供应链管理 物料清单要求</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GB/T 39257-2020</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绿色制造 制造企业绿色供应链管理 评价规范</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color w:val="auto"/>
                <w:kern w:val="0"/>
                <w:sz w:val="24"/>
                <w:szCs w:val="24"/>
                <w:highlight w:val="none"/>
                <w:u w:val="none"/>
                <w:lang w:val="en-US" w:eastAsia="zh-CN" w:bidi="ar"/>
              </w:rPr>
              <w:t>7</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GB/T 33635-2017</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"https://openstd.samr.gov.cn/bzgk/gb/javascript:void(0)" \o "https://openstd.samr.gov.cn/bzgk/gb/javascript:void(0)"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绿色制造 制造企业绿色供应链管理 导则</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2017/12/1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行业标准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1</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JB/T 14321.7-2023</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44"/>
                <w:rFonts w:hint="default" w:ascii="Times New Roman" w:hAnsi="Times New Roman" w:eastAsia="仿宋_GB2312" w:cs="Times New Roman"/>
                <w:i w:val="0"/>
                <w:iCs w:val="0"/>
                <w:color w:val="auto"/>
                <w:sz w:val="24"/>
                <w:szCs w:val="24"/>
                <w:highlight w:val="none"/>
                <w:u w:val="none"/>
                <w:lang w:val="en-US" w:eastAsia="zh-CN"/>
              </w:rPr>
            </w:pPr>
            <w:r>
              <w:rPr>
                <w:rStyle w:val="44"/>
                <w:rFonts w:hint="eastAsia" w:ascii="Times New Roman" w:hAnsi="Times New Roman" w:eastAsia="仿宋_GB2312" w:cs="Times New Roman"/>
                <w:i w:val="0"/>
                <w:iCs w:val="0"/>
                <w:color w:val="auto"/>
                <w:sz w:val="24"/>
                <w:szCs w:val="24"/>
                <w:highlight w:val="none"/>
                <w:u w:val="none"/>
                <w:lang w:val="en-US" w:eastAsia="zh-CN"/>
              </w:rPr>
              <w:t>机械行业绿色供应链管理 第7部分：信息平台规范</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2024/7/1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JB/T 14321.6-2023</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44"/>
                <w:rFonts w:hint="default" w:ascii="Times New Roman" w:hAnsi="Times New Roman" w:eastAsia="仿宋_GB2312" w:cs="Times New Roman"/>
                <w:i w:val="0"/>
                <w:iCs w:val="0"/>
                <w:color w:val="auto"/>
                <w:sz w:val="24"/>
                <w:szCs w:val="24"/>
                <w:highlight w:val="none"/>
                <w:u w:val="none"/>
                <w:lang w:val="en-US" w:eastAsia="zh-CN"/>
              </w:rPr>
            </w:pPr>
            <w:r>
              <w:rPr>
                <w:rStyle w:val="44"/>
                <w:rFonts w:hint="eastAsia" w:ascii="Times New Roman" w:hAnsi="Times New Roman" w:eastAsia="仿宋_GB2312" w:cs="Times New Roman"/>
                <w:i w:val="0"/>
                <w:iCs w:val="0"/>
                <w:color w:val="auto"/>
                <w:sz w:val="24"/>
                <w:szCs w:val="24"/>
                <w:highlight w:val="none"/>
                <w:u w:val="none"/>
                <w:lang w:val="en-US" w:eastAsia="zh-CN"/>
              </w:rPr>
              <w:t>机械行业绿色供应链管理 第6部分：绿色回收</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2024/7/1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3</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JB/T 14321.5-2023</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44"/>
                <w:rFonts w:hint="default" w:ascii="Times New Roman" w:hAnsi="Times New Roman" w:eastAsia="仿宋_GB2312" w:cs="Times New Roman"/>
                <w:i w:val="0"/>
                <w:iCs w:val="0"/>
                <w:color w:val="auto"/>
                <w:sz w:val="24"/>
                <w:szCs w:val="24"/>
                <w:highlight w:val="none"/>
                <w:u w:val="none"/>
                <w:lang w:val="en-US" w:eastAsia="zh-CN"/>
              </w:rPr>
            </w:pPr>
            <w:r>
              <w:rPr>
                <w:rStyle w:val="44"/>
                <w:rFonts w:hint="eastAsia" w:ascii="Times New Roman" w:hAnsi="Times New Roman" w:eastAsia="仿宋_GB2312" w:cs="Times New Roman"/>
                <w:i w:val="0"/>
                <w:iCs w:val="0"/>
                <w:color w:val="auto"/>
                <w:sz w:val="24"/>
                <w:szCs w:val="24"/>
                <w:highlight w:val="none"/>
                <w:u w:val="none"/>
                <w:lang w:val="en-US" w:eastAsia="zh-CN"/>
              </w:rPr>
              <w:t>机械行业绿色供应链管理 第5部分：绿色物流</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2024/7/1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4</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JB/T 14321.4-2023</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44"/>
                <w:rFonts w:hint="default" w:ascii="Times New Roman" w:hAnsi="Times New Roman" w:eastAsia="仿宋_GB2312" w:cs="Times New Roman"/>
                <w:i w:val="0"/>
                <w:iCs w:val="0"/>
                <w:color w:val="auto"/>
                <w:sz w:val="24"/>
                <w:szCs w:val="24"/>
                <w:highlight w:val="none"/>
                <w:u w:val="none"/>
                <w:lang w:val="en-US" w:eastAsia="zh-CN"/>
              </w:rPr>
            </w:pPr>
            <w:r>
              <w:rPr>
                <w:rStyle w:val="44"/>
                <w:rFonts w:hint="eastAsia" w:ascii="Times New Roman" w:hAnsi="Times New Roman" w:eastAsia="仿宋_GB2312" w:cs="Times New Roman"/>
                <w:i w:val="0"/>
                <w:iCs w:val="0"/>
                <w:color w:val="auto"/>
                <w:sz w:val="24"/>
                <w:szCs w:val="24"/>
                <w:highlight w:val="none"/>
                <w:u w:val="none"/>
                <w:lang w:val="en-US" w:eastAsia="zh-CN"/>
              </w:rPr>
              <w:t>机械行业绿色供应链管理 第4部分：绿色生产</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2024/7/1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5</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JB/T 14321.3-2023</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44"/>
                <w:rFonts w:hint="default" w:ascii="Times New Roman" w:hAnsi="Times New Roman" w:eastAsia="仿宋_GB2312" w:cs="Times New Roman"/>
                <w:i w:val="0"/>
                <w:iCs w:val="0"/>
                <w:color w:val="auto"/>
                <w:sz w:val="24"/>
                <w:szCs w:val="24"/>
                <w:highlight w:val="none"/>
                <w:u w:val="none"/>
                <w:lang w:val="en-US" w:eastAsia="zh-CN"/>
              </w:rPr>
            </w:pPr>
            <w:r>
              <w:rPr>
                <w:rStyle w:val="44"/>
                <w:rFonts w:hint="eastAsia" w:ascii="Times New Roman" w:hAnsi="Times New Roman" w:eastAsia="仿宋_GB2312" w:cs="Times New Roman"/>
                <w:i w:val="0"/>
                <w:iCs w:val="0"/>
                <w:color w:val="auto"/>
                <w:sz w:val="24"/>
                <w:szCs w:val="24"/>
                <w:highlight w:val="none"/>
                <w:u w:val="none"/>
                <w:lang w:val="en-US" w:eastAsia="zh-CN"/>
              </w:rPr>
              <w:t>机械行业绿色供应链管理 第3部分：绿色采购</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2024/7/1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6</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JB/T 14321.2-2023</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44"/>
                <w:rFonts w:hint="default" w:ascii="Times New Roman" w:hAnsi="Times New Roman" w:eastAsia="仿宋_GB2312" w:cs="Times New Roman"/>
                <w:i w:val="0"/>
                <w:iCs w:val="0"/>
                <w:color w:val="auto"/>
                <w:sz w:val="24"/>
                <w:szCs w:val="24"/>
                <w:highlight w:val="none"/>
                <w:u w:val="none"/>
                <w:lang w:val="en-US" w:eastAsia="zh-CN"/>
              </w:rPr>
            </w:pPr>
            <w:r>
              <w:rPr>
                <w:rStyle w:val="44"/>
                <w:rFonts w:hint="eastAsia" w:ascii="Times New Roman" w:hAnsi="Times New Roman" w:eastAsia="仿宋_GB2312" w:cs="Times New Roman"/>
                <w:i w:val="0"/>
                <w:iCs w:val="0"/>
                <w:color w:val="auto"/>
                <w:sz w:val="24"/>
                <w:szCs w:val="24"/>
                <w:highlight w:val="none"/>
                <w:u w:val="none"/>
                <w:lang w:val="en-US" w:eastAsia="zh-CN"/>
              </w:rPr>
              <w:t>机械行业绿色供应链管理 第2部分：绿色设计</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2024/7/1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7</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JB/T 14321.1-2023</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44"/>
                <w:rFonts w:hint="default" w:ascii="Times New Roman" w:hAnsi="Times New Roman" w:eastAsia="仿宋_GB2312" w:cs="Times New Roman"/>
                <w:i w:val="0"/>
                <w:iCs w:val="0"/>
                <w:color w:val="auto"/>
                <w:sz w:val="24"/>
                <w:szCs w:val="24"/>
                <w:highlight w:val="none"/>
                <w:u w:val="none"/>
                <w:lang w:val="en-US" w:eastAsia="zh-CN"/>
              </w:rPr>
            </w:pPr>
            <w:r>
              <w:rPr>
                <w:rStyle w:val="44"/>
                <w:rFonts w:hint="eastAsia" w:ascii="Times New Roman" w:hAnsi="Times New Roman" w:eastAsia="仿宋_GB2312" w:cs="Times New Roman"/>
                <w:i w:val="0"/>
                <w:iCs w:val="0"/>
                <w:color w:val="auto"/>
                <w:sz w:val="24"/>
                <w:szCs w:val="24"/>
                <w:highlight w:val="none"/>
                <w:u w:val="none"/>
                <w:lang w:val="en-US" w:eastAsia="zh-CN"/>
              </w:rPr>
              <w:t>机械行业绿色供应链管理 第1部分：通则</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eastAsia="仿宋_GB2312" w:cs="Times New Roman"/>
                <w:i w:val="0"/>
                <w:iCs w:val="0"/>
                <w:color w:val="auto"/>
                <w:kern w:val="0"/>
                <w:sz w:val="24"/>
                <w:szCs w:val="24"/>
                <w:highlight w:val="none"/>
                <w:u w:val="none"/>
                <w:lang w:val="en-US" w:eastAsia="zh-CN" w:bidi="ar"/>
              </w:rPr>
              <w:t>2024/7/1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color w:val="auto"/>
                <w:kern w:val="0"/>
                <w:sz w:val="24"/>
                <w:szCs w:val="24"/>
                <w:highlight w:val="none"/>
                <w:u w:val="none"/>
                <w:lang w:val="en-US" w:eastAsia="zh-CN" w:bidi="ar"/>
              </w:rPr>
              <w:t>8</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SJ/T 11885-2022</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"https://hbba.sacinfo.org.cn/stdDetail/d81ce85034a9083a42e81cc4c0457eb39cc6afbe009723a075c8e979b1411595" \o "https://hbba.sacinfo.org.cn/stdDetail/d81ce85034a9083a42e81cc4c0457eb39cc6afbe009723a075c8e979b1411595"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动力锂离子电池行业绿色供应链管理规范</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eastAsia" w:ascii="Times New Roman" w:hAnsi="Times New Roman" w:eastAsia="仿宋_GB2312" w:cs="Times New Roman"/>
                <w:i w:val="0"/>
                <w:iCs w:val="0"/>
                <w:color w:val="auto"/>
                <w:kern w:val="0"/>
                <w:sz w:val="24"/>
                <w:szCs w:val="24"/>
                <w:highlight w:val="none"/>
                <w:u w:val="none"/>
                <w:lang w:val="en-US" w:eastAsia="zh-CN" w:bidi="ar"/>
              </w:rPr>
              <w:t>9</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QC/T 1159-2022</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"https://hbba.sacinfo.org.cn/stdDetail/309885dcfc2c47373d3aed3254151cf99d3fe899e6b7b63ba00fbed412651ec8" \o "https://hbba.sacinfo.org.cn/stdDetail/309885dcfc2c47373d3aed3254151cf99d3fe899e6b7b63ba00fbed412651ec8"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汽车行业绿色供应链管理评价规范</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2022/10/1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10</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HG/T 6062-2022</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"https://hbba.sacinfo.org.cn/stdDetail/ee4f10511e76eb48702f3f554a7f4a6b9b0b24c99014e94ab5dad5a80dcd2021" \o "https://hbba.sacinfo.org.cn/stdDetail/ee4f10511e76eb48702f3f554a7f4a6b9b0b24c99014e94ab5dad5a80dcd2021"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轮胎制造绿色供应链管理 要求</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2023/4/1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11</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RB/T 090-2022</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"https://hbba.sacinfo.org.cn/stdDetail/63968ec2069643b9238102b74f4a5620a2b7666dcf8d9a68b7b7bcf7b04bbe5f" \o "https://hbba.sacinfo.org.cn/stdDetail/63968ec2069643b9238102b74f4a5620a2b7666dcf8d9a68b7b7bcf7b04bbe5f"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绿色供应链管理体系 绩效评价通则</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12</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RB/T 089-2022</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"https://hbba.sacinfo.org.cn/stdDetail/63968ec2069643b9238102b74f4a5620d7ea046893a43f93ed1732b07f233937" \o "https://hbba.sacinfo.org.cn/stdDetail/63968ec2069643b9238102b74f4a5620d7ea046893a43f93ed1732b07f233937"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绿色供应链管理体系 要求及使用指南</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13</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RB/T 088-2022</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"https://hbba.sacinfo.org.cn/stdDetail/63968ec2069643b9238102b74f4a5620c7c623d7f33e99a61ea33f0ee8bd8b90" \o "https://hbba.sacinfo.org.cn/stdDetail/63968ec2069643b9238102b74f4a5620c7c623d7f33e99a61ea33f0ee8bd8b90"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绿色供应链管理体系 审核指南</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14</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RB/T 087-2022</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"https://hbba.sacinfo.org.cn/stdDetail/63968ec2069643b9238102b74f4a5620186653df2d9b17b30c8413d0116c4e48" \o "https://hbba.sacinfo.org.cn/stdDetail/63968ec2069643b9238102b74f4a5620186653df2d9b17b30c8413d0116c4e48"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绿色供应链管理体系 术语和基础</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15</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YD/T 4048-2022</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"https://hbba.sacinfo.org.cn/stdDetail/ab5a3dddbd231450bc641ae93fb282946ab109ddf3457c156134f03182ca88e5" \o "https://hbba.sacinfo.org.cn/stdDetail/ab5a3dddbd231450bc641ae93fb282946ab109ddf3457c156134f03182ca88e5"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通信制造业绿色供应链管理评价细则</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16</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NB/T 10655-2021</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"https://hbba.sacinfo.org.cn/stdDetail/cc984f374d51b08a7685aead58bd73f56f5cd02a18f51ed779d3f566db323fc7" \o "https://hbba.sacinfo.org.cn/stdDetail/cc984f374d51b08a7685aead58bd73f56f5cd02a18f51ed779d3f566db323fc7"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风力发电装备制造业绿色供应链管理评价规范</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2021/10/26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17</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HG/T 5905-2021</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"https://hbba.sacinfo.org.cn/stdDetail/70c0b49ff6aceea08283f8ee867e9d0da34fc38df57c88131954695f7922b955" \o "https://hbba.sacinfo.org.cn/stdDetail/70c0b49ff6aceea08283f8ee867e9d0da34fc38df57c88131954695f7922b955"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石油和化工行业绿色供应链管理 导则</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18</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QB/T 5501.5-2020</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"https://hbba.sacinfo.org.cn/stdDetail/b91fb42be551c62d588d0f6bae325d713ac5804d0dce3d783aa4438da6681be3" \o "https://hbba.sacinfo.org.cn/stdDetail/b91fb42be551c62d588d0f6bae325d713ac5804d0dce3d783aa4438da6681be3"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家用电器绿色供应链管理 第5部分：回收与综合利用</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w:t>
            </w:r>
            <w:r>
              <w:rPr>
                <w:rFonts w:hint="eastAsia" w:ascii="Times New Roman" w:hAnsi="Times New Roman" w:eastAsia="仿宋_GB2312" w:cs="Times New Roman"/>
                <w:i w:val="0"/>
                <w:iCs w:val="0"/>
                <w:color w:val="auto"/>
                <w:kern w:val="0"/>
                <w:sz w:val="24"/>
                <w:szCs w:val="24"/>
                <w:highlight w:val="none"/>
                <w:u w:val="none"/>
                <w:lang w:val="en-US" w:eastAsia="zh-CN" w:bidi="ar"/>
              </w:rPr>
              <w:t>9</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QB/T 5501.4-2020</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"https://hbba.sacinfo.org.cn/stdDetail/b91fb42be551c62d588d0f6bae325d71b82be2b2bb8a3926ffeb9da773aa83db" \o "https://hbba.sacinfo.org.cn/stdDetail/b91fb42be551c62d588d0f6bae325d71b82be2b2bb8a3926ffeb9da773aa83db"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家用电器绿色供应链管理 第4部分：销售与售后服务</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20</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QB/T 5501.3-2020</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"https://hbba.sacinfo.org.cn/stdDetail/b91fb42be551c62d588d0f6bae325d7142fc41ed491598427cdedaf9781fb868" \o "https://hbba.sacinfo.org.cn/stdDetail/b91fb42be551c62d588d0f6bae325d7142fc41ed491598427cdedaf9781fb868"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家用电器绿色供应链管理 第3部分：物流与仓储</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21</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QB/T 5501.2-2020</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"https://hbba.sacinfo.org.cn/stdDetail/b91fb42be551c62d588d0f6bae325d71d1dd2fe780931149882a1db913e79f78" \o "https://hbba.sacinfo.org.cn/stdDetail/b91fb42be551c62d588d0f6bae325d71d1dd2fe780931149882a1db913e79f78"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家用电器绿色供应链管理 第2部分：采购</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22</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QB/T 5501.1-2020</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"https://hbba.sacinfo.org.cn/stdDetail/b91fb42be551c62d588d0f6bae325d718f97d745fd66bff69c405345d686d60f" \o "https://hbba.sacinfo.org.cn/stdDetail/b91fb42be551c62d588d0f6bae325d718f97d745fd66bff69c405345d686d60f"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家用电器绿色供应链管理 第1部分：通则</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lang w:val="en-US"/>
              </w:rPr>
            </w:pPr>
            <w:r>
              <w:rPr>
                <w:rFonts w:hint="eastAsia" w:ascii="Times New Roman" w:hAnsi="Times New Roman" w:eastAsia="仿宋_GB2312" w:cs="Times New Roman"/>
                <w:i w:val="0"/>
                <w:iCs w:val="0"/>
                <w:color w:val="auto"/>
                <w:kern w:val="0"/>
                <w:sz w:val="24"/>
                <w:szCs w:val="24"/>
                <w:highlight w:val="none"/>
                <w:u w:val="none"/>
                <w:lang w:val="en-US" w:eastAsia="zh-CN" w:bidi="ar"/>
              </w:rPr>
              <w:t>23</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FZ/T 07005-2020</w:t>
            </w:r>
          </w:p>
        </w:tc>
        <w:tc>
          <w:tcPr>
            <w:tcW w:w="2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begin"/>
            </w:r>
            <w:r>
              <w:rPr>
                <w:rFonts w:hint="default" w:ascii="Times New Roman" w:hAnsi="Times New Roman" w:eastAsia="仿宋_GB2312" w:cs="Times New Roman"/>
                <w:i w:val="0"/>
                <w:iCs w:val="0"/>
                <w:color w:val="auto"/>
                <w:kern w:val="0"/>
                <w:sz w:val="24"/>
                <w:szCs w:val="24"/>
                <w:highlight w:val="none"/>
                <w:u w:val="none"/>
                <w:lang w:val="en-US" w:eastAsia="zh-CN" w:bidi="ar"/>
              </w:rPr>
              <w:instrText xml:space="preserve"> HYPERLINK "https://hbba.sacinfo.org.cn/stdDetail/d91dcf9a2d7251e759deca9572699576394b41172e274d476709cfd10a109368" \o "https://hbba.sacinfo.org.cn/stdDetail/d91dcf9a2d7251e759deca9572699576394b41172e274d476709cfd10a109368" </w:instrTex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separate"/>
            </w:r>
            <w:r>
              <w:rPr>
                <w:rStyle w:val="44"/>
                <w:rFonts w:hint="default" w:ascii="Times New Roman" w:hAnsi="Times New Roman" w:eastAsia="仿宋_GB2312" w:cs="Times New Roman"/>
                <w:i w:val="0"/>
                <w:iCs w:val="0"/>
                <w:color w:val="auto"/>
                <w:sz w:val="24"/>
                <w:szCs w:val="24"/>
                <w:highlight w:val="none"/>
                <w:u w:val="none"/>
              </w:rPr>
              <w:t>纺织行业绿色供应链管理企业评价指标体系</w:t>
            </w:r>
            <w:r>
              <w:rPr>
                <w:rFonts w:hint="default" w:ascii="Times New Roman" w:hAnsi="Times New Roman" w:eastAsia="仿宋_GB2312" w:cs="Times New Roman"/>
                <w:i w:val="0"/>
                <w:iCs w:val="0"/>
                <w:color w:val="auto"/>
                <w:kern w:val="0"/>
                <w:sz w:val="24"/>
                <w:szCs w:val="24"/>
                <w:highlight w:val="none"/>
                <w:u w:val="none"/>
                <w:lang w:val="en-US" w:eastAsia="zh-CN" w:bidi="ar"/>
              </w:rPr>
              <w:fldChar w:fldCharType="end"/>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2020/10/1</w:t>
            </w:r>
          </w:p>
        </w:tc>
      </w:tr>
    </w:tbl>
    <w:p>
      <w:pPr>
        <w:pStyle w:val="47"/>
        <w:ind w:left="0" w:leftChars="0" w:firstLine="0" w:firstLineChars="0"/>
        <w:rPr>
          <w:rFonts w:hint="default" w:ascii="Times New Roman" w:hAnsi="Times New Roman" w:cs="Times New Roman"/>
          <w:color w:val="auto"/>
          <w:highlight w:val="none"/>
          <w:lang w:val="en-US" w:eastAsia="zh-CN"/>
        </w:rPr>
      </w:pPr>
    </w:p>
    <w:p>
      <w:pPr>
        <w:pStyle w:val="8"/>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表7 绿色供应链评价标准（团体标准，参考）</w:t>
      </w:r>
    </w:p>
    <w:tbl>
      <w:tblPr>
        <w:tblStyle w:val="37"/>
        <w:tblW w:w="5685" w:type="pct"/>
        <w:tblInd w:w="-3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116"/>
        <w:gridCol w:w="2084"/>
        <w:gridCol w:w="3250"/>
        <w:gridCol w:w="14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blHead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bidi="ar"/>
              </w:rPr>
              <w:t>序号</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bidi="ar"/>
              </w:rPr>
              <w:t>团体名称</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bidi="ar"/>
              </w:rPr>
              <w:t>标准编号</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bidi="ar"/>
              </w:rPr>
              <w:t>标准名称</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bidi="ar"/>
              </w:rPr>
              <w:t>公布日期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中国循环经济协会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T/CACE 0104—2023</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工程机械再制造绿色供应链管理要求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2023/12/1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株洲市金融学会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T/ZZFS 001—2023</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风力发电绿色供应链金融服务规范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2023/10/31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中国循环经济协会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T/CACE 077—2023</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发电企业绿色供应链管理规范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2023/8/17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4</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湖南省金融学会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T/HNSFB 1—2023</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轨道交通装备制造企业绿色供应链金融服务规范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2023/6/8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中国国际经济技术合作促进会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T/CIET 073—2023</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电线电缆绿色供应链评价管理规范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2023/5/10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中国电器工业协会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T/CEEIA 632—2022</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风电装备制造业 绿色供应链管理规范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2023/2/13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中国电器工业协会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T/CEEIA 631—2022</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风电装备制造业 绿色供应链建设指南</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2023/2/13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中国信息协会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T/CIIA 032.3—2022</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风电企业绿色供应链信息管理平台 第3部分：系统和数据安全要求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2022/12/23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9</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中国信息协会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T/CIIA 032.2—2022</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风电企业绿色供应链信息管理平台 第2部分：能源数据采集要求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2022/12/23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中国信息协会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T/CIIA 032.1—2022</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风电企业绿色供应链信息管理平台 第1部分：总体要求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2022/12/23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11</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深圳市检验检测认证协会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T/SZTIC 001—2022</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绿色供应链评价标准</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2022/11/9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12</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佛山市高新技术应用研究会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T/FSYY 0060—2021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废电池综合利用行业绿色供应链管理导则</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2022/1/25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湖州市电梯行业协会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T/HZDT 005—2021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电梯制造企业绿色供应链管理要求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14</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中国电子节能技术协会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T/DZJN 65—2021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绿色供应链管理评价规范动力锂离子电池行业</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2021/12/23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宁德市标准化协会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T/NDAS 44—2021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绿色供应链管理体系 组织评级指南</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中国电子节能技术协会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T/DZJN 54—2021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动力锂离子电池行业绿色供应链管理 绿色回收</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2021/10/12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17</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中国物资再生协会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T/CRRA 0808—2021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工程机械再制造企业绿色供应链管理 绿色生产</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中国光伏行业协会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T/CPIA 0027—2020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光伏企业绿色供应链管理规范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19</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广东省节能减排标准化促进会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T/GDES 55—2021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陶瓷企业绿色供应链管理评价技术规范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中国电子节能技术协会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T/DZJN 26—2021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动力锂离子电池行业绿色供应链管理</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21</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中国电子节能技术协会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T/DZJN 25—2021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动力锂离子电池行业绿色供应链管理</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22</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中国机械通用零部件工业协会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T/TCMCA 0007—2020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绿色采购 绿色供应链评价导则</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23</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中国机械通用零部件工业协会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T/TCMCA 0009—2020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制造企业 绿色供应链管理规范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24</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中国机械通用零部件工业协会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T/TCMCA 0008—2020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制造企业 绿色供应链构建指南</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25</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中国科技产业化促进会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T/CSPSTC 59—2020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盾构机制造企业绿色供应链 运行规范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26</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中国科技产业化促进会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T/CSPSTC 58—2020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盾构机制造企业绿色供应链 基本要求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27</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中国纺织工业联合会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T/CNTAC 76—2021</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绿色供应链管理评价规范 羊绒企业</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28</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中国石油和化学工业联合会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T/CPCIF 0074—2020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纺织染整助剂企业绿色供应链管理 指南</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29</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中国电子工业标准化技术协会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T/CESA 1098—2020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电子信息制造业绿色供应链管理规范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30</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中国电子工业标准化技术协会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T/CESA 1079—2020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绿色供应链管理评价规范 平板电视机制造业</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2020/5/13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31</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中国产学研合作促进会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T/CAB 2021—2019</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铅酸蓄电池企业绿色供应链 管理评价要求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32</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广东省循环经济和资源综合利用协会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T/GDACERCU 0004—2020</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导管架海洋平台制造企业绿色供应链管理 指南</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2020/3/4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33</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中国机械制造工艺协会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T/CAMMT 8—2018</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家电企业 绿色供应链管理 信息管理要求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1"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34</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中国机械制造工艺协会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T/CAMMT 7—2018</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家电企业 绿色供应链管理 物料清单要求</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35</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广东省电子信息行业协会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T/GDEIIA 1—2019</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平板电视制造企业绿色供应链管理技术规范</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2019/2/25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36</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广东省绿色供应链协会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T/GDGSCA 001—2019</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绿色供应链管理评价导则 ——绿色供应链指数</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2019/1/28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37</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中国标准化协会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T/CAS 311.5—2018</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电器电子产品绿色供应链管理 第5部分:回收和综合利用</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2018/11/6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38</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中国标准化协会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T/CAS 311.4—2018</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电器电子产品绿色供应链管理 第4部分：销售与售后服务</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2018/11/6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39</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中国标准化协会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T/CAS 311.3—2018</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电器电子产品绿色供应链管理 第3部分：物流与仓储</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2018/11/6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40</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中国标准化协会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T/CAS 311.2—2018</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电器电子产品绿色供应链管理 第2部分：采购</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2018/11/6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41</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中国标准化协会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T/CAS 311.1—2018</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电器电子产品绿色供应链管理 第1部分：通则</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2018/11/6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42</w:t>
            </w:r>
          </w:p>
        </w:tc>
        <w:tc>
          <w:tcPr>
            <w:tcW w:w="10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中国产学研合作促进会</w:t>
            </w:r>
          </w:p>
        </w:tc>
        <w:tc>
          <w:tcPr>
            <w:tcW w:w="10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T/CAB 2010—2018</w:t>
            </w:r>
          </w:p>
        </w:tc>
        <w:tc>
          <w:tcPr>
            <w:tcW w:w="1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家电产品绿色供应链管理 基础数据收集</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2018/9/12</w:t>
            </w:r>
          </w:p>
        </w:tc>
      </w:tr>
    </w:tbl>
    <w:p>
      <w:pPr>
        <w:pStyle w:val="47"/>
        <w:ind w:left="0" w:leftChars="0" w:firstLine="0" w:firstLineChars="0"/>
        <w:rPr>
          <w:rFonts w:hint="default" w:ascii="Times New Roman" w:hAnsi="Times New Roman" w:cs="Times New Roman"/>
          <w:color w:val="auto"/>
          <w:highlight w:val="none"/>
          <w:lang w:val="en-US" w:eastAsia="zh-CN"/>
        </w:rPr>
      </w:pPr>
    </w:p>
    <w:p>
      <w:pPr>
        <w:pStyle w:val="5"/>
        <w:bidi w:val="0"/>
        <w:ind w:firstLine="640" w:firstLineChars="200"/>
        <w:outlineLvl w:val="1"/>
        <w:rPr>
          <w:rFonts w:hint="default" w:ascii="Times New Roman" w:hAnsi="Times New Roman" w:eastAsia="楷体" w:cs="Times New Roman"/>
          <w:b w:val="0"/>
          <w:bCs w:val="0"/>
          <w:color w:val="auto"/>
          <w:sz w:val="32"/>
          <w:szCs w:val="36"/>
          <w:highlight w:val="none"/>
          <w:lang w:val="en-US" w:eastAsia="zh-CN"/>
        </w:rPr>
      </w:pPr>
      <w:bookmarkStart w:id="41" w:name="_Toc15657"/>
      <w:bookmarkStart w:id="42" w:name="_Toc24697"/>
      <w:r>
        <w:rPr>
          <w:rFonts w:hint="default" w:ascii="Times New Roman" w:hAnsi="Times New Roman" w:eastAsia="楷体" w:cs="Times New Roman"/>
          <w:b w:val="0"/>
          <w:bCs w:val="0"/>
          <w:color w:val="auto"/>
          <w:sz w:val="32"/>
          <w:szCs w:val="36"/>
          <w:highlight w:val="none"/>
          <w:lang w:val="en-US" w:eastAsia="zh-CN"/>
        </w:rPr>
        <w:t>（四）评价指标</w:t>
      </w:r>
      <w:bookmarkEnd w:id="41"/>
      <w:bookmarkEnd w:id="42"/>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绿色供应链管理评价指标体系包括绿色供应链管理战略指标、绿色供应商管理指标、绿色生产指标、绿色回收指标、绿色信息平台建设指标、绿色信息披露指标6个方面。</w:t>
      </w:r>
    </w:p>
    <w:p>
      <w:pPr>
        <w:snapToGrid w:val="0"/>
        <w:spacing w:line="360" w:lineRule="auto"/>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具体如下表所示。</w:t>
      </w:r>
    </w:p>
    <w:p>
      <w:pPr>
        <w:pStyle w:val="2"/>
        <w:rPr>
          <w:rFonts w:hint="default"/>
        </w:rPr>
      </w:pPr>
    </w:p>
    <w:p>
      <w:pPr>
        <w:pStyle w:val="8"/>
        <w:bidi w:val="0"/>
        <w:jc w:val="center"/>
        <w:rPr>
          <w:rFonts w:hint="default" w:ascii="Times New Roman" w:hAnsi="Times New Roman" w:eastAsia="黑体" w:cs="Times New Roman"/>
          <w:color w:val="auto"/>
          <w:highlight w:val="none"/>
          <w:lang w:eastAsia="zh-CN"/>
        </w:rPr>
      </w:pP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 xml:space="preserve">8 </w:t>
      </w:r>
      <w:r>
        <w:rPr>
          <w:rFonts w:hint="default" w:ascii="Times New Roman" w:hAnsi="Times New Roman" w:cs="Times New Roman"/>
          <w:color w:val="auto"/>
          <w:highlight w:val="none"/>
        </w:rPr>
        <w:t>企业绿色供应链管理评价指标体系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参考</w:t>
      </w:r>
      <w:r>
        <w:rPr>
          <w:rFonts w:hint="default" w:ascii="Times New Roman" w:hAnsi="Times New Roman" w:cs="Times New Roman"/>
          <w:color w:val="auto"/>
          <w:highlight w:val="none"/>
          <w:lang w:eastAsia="zh-CN"/>
        </w:rPr>
        <w:t>）</w:t>
      </w:r>
    </w:p>
    <w:tbl>
      <w:tblPr>
        <w:tblStyle w:val="37"/>
        <w:tblW w:w="5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660"/>
        <w:gridCol w:w="2403"/>
        <w:gridCol w:w="751"/>
        <w:gridCol w:w="718"/>
        <w:gridCol w:w="815"/>
        <w:gridCol w:w="3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1" w:type="pct"/>
            <w:vAlign w:val="center"/>
          </w:tcPr>
          <w:p>
            <w:pPr>
              <w:jc w:val="center"/>
              <w:rPr>
                <w:rFonts w:hint="default" w:ascii="Times New Roman" w:hAnsi="Times New Roman" w:eastAsia="仿宋_GB2312" w:cs="Times New Roman"/>
                <w:b/>
                <w:color w:val="auto"/>
                <w:sz w:val="22"/>
                <w:szCs w:val="30"/>
                <w:highlight w:val="none"/>
              </w:rPr>
            </w:pPr>
            <w:r>
              <w:rPr>
                <w:rFonts w:hint="default" w:ascii="Times New Roman" w:hAnsi="Times New Roman" w:eastAsia="仿宋_GB2312" w:cs="Times New Roman"/>
                <w:b/>
                <w:color w:val="auto"/>
                <w:sz w:val="22"/>
                <w:szCs w:val="30"/>
                <w:highlight w:val="none"/>
              </w:rPr>
              <w:t>一级指标</w:t>
            </w:r>
          </w:p>
        </w:tc>
        <w:tc>
          <w:tcPr>
            <w:tcW w:w="328" w:type="pct"/>
            <w:vAlign w:val="center"/>
          </w:tcPr>
          <w:p>
            <w:pPr>
              <w:jc w:val="center"/>
              <w:rPr>
                <w:rFonts w:hint="default" w:ascii="Times New Roman" w:hAnsi="Times New Roman" w:eastAsia="仿宋_GB2312" w:cs="Times New Roman"/>
                <w:b/>
                <w:color w:val="auto"/>
                <w:sz w:val="22"/>
                <w:szCs w:val="30"/>
                <w:highlight w:val="none"/>
              </w:rPr>
            </w:pPr>
            <w:r>
              <w:rPr>
                <w:rFonts w:hint="default" w:ascii="Times New Roman" w:hAnsi="Times New Roman" w:eastAsia="仿宋_GB2312" w:cs="Times New Roman"/>
                <w:b/>
                <w:color w:val="auto"/>
                <w:sz w:val="22"/>
                <w:szCs w:val="30"/>
                <w:highlight w:val="none"/>
              </w:rPr>
              <w:t>序号</w:t>
            </w:r>
          </w:p>
        </w:tc>
        <w:tc>
          <w:tcPr>
            <w:tcW w:w="1194" w:type="pct"/>
            <w:vAlign w:val="center"/>
          </w:tcPr>
          <w:p>
            <w:pPr>
              <w:jc w:val="center"/>
              <w:rPr>
                <w:rFonts w:hint="default" w:ascii="Times New Roman" w:hAnsi="Times New Roman" w:eastAsia="仿宋_GB2312" w:cs="Times New Roman"/>
                <w:b/>
                <w:color w:val="auto"/>
                <w:sz w:val="22"/>
                <w:szCs w:val="30"/>
                <w:highlight w:val="none"/>
              </w:rPr>
            </w:pPr>
            <w:r>
              <w:rPr>
                <w:rFonts w:hint="default" w:ascii="Times New Roman" w:hAnsi="Times New Roman" w:eastAsia="仿宋_GB2312" w:cs="Times New Roman"/>
                <w:b/>
                <w:color w:val="auto"/>
                <w:sz w:val="22"/>
                <w:szCs w:val="30"/>
                <w:highlight w:val="none"/>
              </w:rPr>
              <w:t>二级指标</w:t>
            </w:r>
          </w:p>
        </w:tc>
        <w:tc>
          <w:tcPr>
            <w:tcW w:w="373" w:type="pct"/>
            <w:vAlign w:val="center"/>
          </w:tcPr>
          <w:p>
            <w:pPr>
              <w:jc w:val="center"/>
              <w:rPr>
                <w:rFonts w:hint="default" w:ascii="Times New Roman" w:hAnsi="Times New Roman" w:eastAsia="仿宋_GB2312" w:cs="Times New Roman"/>
                <w:b/>
                <w:color w:val="auto"/>
                <w:sz w:val="22"/>
                <w:szCs w:val="30"/>
                <w:highlight w:val="none"/>
              </w:rPr>
            </w:pPr>
            <w:r>
              <w:rPr>
                <w:rFonts w:hint="default" w:ascii="Times New Roman" w:hAnsi="Times New Roman" w:eastAsia="仿宋_GB2312" w:cs="Times New Roman"/>
                <w:b/>
                <w:color w:val="auto"/>
                <w:sz w:val="22"/>
                <w:szCs w:val="30"/>
                <w:highlight w:val="none"/>
              </w:rPr>
              <w:t>单位</w:t>
            </w:r>
          </w:p>
        </w:tc>
        <w:tc>
          <w:tcPr>
            <w:tcW w:w="357" w:type="pct"/>
            <w:vAlign w:val="center"/>
          </w:tcPr>
          <w:p>
            <w:pPr>
              <w:jc w:val="center"/>
              <w:rPr>
                <w:rFonts w:hint="default" w:ascii="Times New Roman" w:hAnsi="Times New Roman" w:eastAsia="仿宋_GB2312" w:cs="Times New Roman"/>
                <w:b/>
                <w:color w:val="auto"/>
                <w:sz w:val="22"/>
                <w:szCs w:val="30"/>
                <w:highlight w:val="none"/>
              </w:rPr>
            </w:pPr>
            <w:r>
              <w:rPr>
                <w:rFonts w:hint="default" w:ascii="Times New Roman" w:hAnsi="Times New Roman" w:eastAsia="仿宋_GB2312" w:cs="Times New Roman"/>
                <w:b/>
                <w:color w:val="auto"/>
                <w:sz w:val="22"/>
                <w:szCs w:val="30"/>
                <w:highlight w:val="none"/>
              </w:rPr>
              <w:t>最高分值</w:t>
            </w:r>
          </w:p>
        </w:tc>
        <w:tc>
          <w:tcPr>
            <w:tcW w:w="405" w:type="pct"/>
            <w:vAlign w:val="center"/>
          </w:tcPr>
          <w:p>
            <w:pPr>
              <w:jc w:val="center"/>
              <w:rPr>
                <w:rFonts w:hint="default" w:ascii="Times New Roman" w:hAnsi="Times New Roman" w:eastAsia="仿宋_GB2312" w:cs="Times New Roman"/>
                <w:b/>
                <w:color w:val="auto"/>
                <w:sz w:val="22"/>
                <w:szCs w:val="30"/>
                <w:highlight w:val="none"/>
              </w:rPr>
            </w:pPr>
            <w:r>
              <w:rPr>
                <w:rFonts w:hint="default" w:ascii="Times New Roman" w:hAnsi="Times New Roman" w:eastAsia="仿宋_GB2312" w:cs="Times New Roman"/>
                <w:b/>
                <w:color w:val="auto"/>
                <w:sz w:val="22"/>
                <w:szCs w:val="30"/>
                <w:highlight w:val="none"/>
              </w:rPr>
              <w:t>指标</w:t>
            </w:r>
          </w:p>
          <w:p>
            <w:pPr>
              <w:jc w:val="center"/>
              <w:rPr>
                <w:rFonts w:hint="default" w:ascii="Times New Roman" w:hAnsi="Times New Roman" w:eastAsia="仿宋_GB2312" w:cs="Times New Roman"/>
                <w:b/>
                <w:color w:val="auto"/>
                <w:sz w:val="22"/>
                <w:szCs w:val="30"/>
                <w:highlight w:val="none"/>
              </w:rPr>
            </w:pPr>
            <w:r>
              <w:rPr>
                <w:rFonts w:hint="default" w:ascii="Times New Roman" w:hAnsi="Times New Roman" w:eastAsia="仿宋_GB2312" w:cs="Times New Roman"/>
                <w:b/>
                <w:color w:val="auto"/>
                <w:sz w:val="22"/>
                <w:szCs w:val="30"/>
                <w:highlight w:val="none"/>
              </w:rPr>
              <w:t>类型</w:t>
            </w:r>
          </w:p>
        </w:tc>
        <w:tc>
          <w:tcPr>
            <w:tcW w:w="1679" w:type="pct"/>
            <w:vAlign w:val="center"/>
          </w:tcPr>
          <w:p>
            <w:pPr>
              <w:jc w:val="center"/>
              <w:rPr>
                <w:rFonts w:hint="default" w:ascii="Times New Roman" w:hAnsi="Times New Roman" w:eastAsia="仿宋_GB2312" w:cs="Times New Roman"/>
                <w:b/>
                <w:color w:val="auto"/>
                <w:sz w:val="22"/>
                <w:szCs w:val="30"/>
                <w:highlight w:val="none"/>
                <w:lang w:val="en-US" w:eastAsia="zh-CN"/>
              </w:rPr>
            </w:pPr>
            <w:r>
              <w:rPr>
                <w:rFonts w:hint="default" w:ascii="Times New Roman" w:hAnsi="Times New Roman" w:eastAsia="仿宋_GB2312" w:cs="Times New Roman"/>
                <w:b/>
                <w:color w:val="auto"/>
                <w:sz w:val="22"/>
                <w:szCs w:val="30"/>
                <w:highlight w:val="no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restar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绿色供应链管理战略X1</w:t>
            </w: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纳入公司发展规划X11</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8</w:t>
            </w:r>
          </w:p>
        </w:tc>
        <w:tc>
          <w:tcPr>
            <w:tcW w:w="405"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有明确的绿色供应链管理中长期发展规划、年度目标、指标、实施方案等文件。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2</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制定绿色供应链管理目标X12</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6</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3</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设置专门管理机构X13</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6</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restar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实施绿色供应商管理X2</w:t>
            </w: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4</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绿色采购标准制度完善X21</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4</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5</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供应商认证体系完善X22</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3</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6</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对供应商定期审核X23</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3</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7</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供应商绩效评估制度健全X24</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3</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供应商绩效评估制度：建立供应商绩效评估标准，对供应商进行分级评价和管理。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8</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定期对供应商进行培训X25</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3</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9</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低风险供应商占比X26</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4</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定量</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低风险供应商占比的基准值取80%。达到或超过80%得4分，其他分值的计算：比例值/80%*4。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restar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绿色生产X3</w:t>
            </w: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10</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节能减排环保合规X31</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10</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符合国家和地方有关环境法律和法规，近五年无重大安全、环保、质量事故；配备能源、水源监测设备及污染物监测设备（计量仪器符合GB/T 17167和GB 24789）。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11</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符合有害物质限制使用管理办法X32</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10</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restar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绿色回收X4</w:t>
            </w: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12</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产品回收率X41</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5</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定量</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产品回收率X41的基准值为90%，达到或超过90%得5分，其他分值的计算：比例值/90%*5。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13</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包装回收率X42</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5</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定量</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 xml:space="preserve">包装回收率X42的基准值为80%，达到或超过80%得5分，其他分值的计算：比例值/80%*5。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14</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回收体系完善（含自建、与第三方联合回收）X43</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5</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15</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指导下游企业回收拆解X44</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5</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具备回收拆解信息管理系统，实现拆解信息的传递及产品的追溯。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61"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绿色信息平台建设X5</w:t>
            </w: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16</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绿色供应链管理信息平台完善X51</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10</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对企业及其供应商产品材质、工艺流程、能源资源消耗、污染物排放等信息进行有效收集与管理。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61" w:type="pct"/>
            <w:vMerge w:val="restar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绿色信息披露X6</w:t>
            </w: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17</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披露企业节能减排减碳信息X61</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2.5</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具体包括有毒有害物质使用、能源资源利用效率、污染物排放、碳排放减少量、产品回收利用率等信息。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18</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披露高、中风险供应商审核率及低风险供应商占比X62</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2.5</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19</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披露供应商节能减排信息X63</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2.5</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61" w:type="pct"/>
            <w:vMerge w:val="continue"/>
            <w:vAlign w:val="center"/>
          </w:tcPr>
          <w:p>
            <w:pPr>
              <w:jc w:val="center"/>
              <w:rPr>
                <w:rFonts w:hint="default" w:ascii="Times New Roman" w:hAnsi="Times New Roman" w:eastAsia="仿宋_GB2312" w:cs="Times New Roman"/>
                <w:color w:val="auto"/>
                <w:sz w:val="22"/>
                <w:szCs w:val="30"/>
                <w:highlight w:val="none"/>
              </w:rPr>
            </w:pPr>
          </w:p>
        </w:tc>
        <w:tc>
          <w:tcPr>
            <w:tcW w:w="328"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20</w:t>
            </w:r>
          </w:p>
        </w:tc>
        <w:tc>
          <w:tcPr>
            <w:tcW w:w="1194" w:type="pct"/>
            <w:vAlign w:val="center"/>
          </w:tcPr>
          <w:p>
            <w:pP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发布企业社会责任报告（含绿色采购信息）X64</w:t>
            </w:r>
          </w:p>
        </w:tc>
        <w:tc>
          <w:tcPr>
            <w:tcW w:w="373"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w:t>
            </w:r>
          </w:p>
        </w:tc>
        <w:tc>
          <w:tcPr>
            <w:tcW w:w="357" w:type="pct"/>
            <w:vAlign w:val="center"/>
          </w:tcPr>
          <w:p>
            <w:pPr>
              <w:jc w:val="center"/>
              <w:rPr>
                <w:rFonts w:hint="default" w:ascii="Times New Roman" w:hAnsi="Times New Roman" w:eastAsia="仿宋_GB2312" w:cs="Times New Roman"/>
                <w:color w:val="auto"/>
                <w:sz w:val="22"/>
                <w:szCs w:val="30"/>
                <w:highlight w:val="none"/>
              </w:rPr>
            </w:pPr>
            <w:r>
              <w:rPr>
                <w:rFonts w:hint="default" w:ascii="Times New Roman" w:hAnsi="Times New Roman" w:eastAsia="仿宋_GB2312" w:cs="Times New Roman"/>
                <w:color w:val="auto"/>
                <w:sz w:val="22"/>
                <w:szCs w:val="30"/>
                <w:highlight w:val="none"/>
              </w:rPr>
              <w:t>2.5</w:t>
            </w:r>
          </w:p>
        </w:tc>
        <w:tc>
          <w:tcPr>
            <w:tcW w:w="405" w:type="pct"/>
            <w:vAlign w:val="center"/>
          </w:tcPr>
          <w:p>
            <w:pPr>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22"/>
                <w:szCs w:val="30"/>
                <w:highlight w:val="none"/>
              </w:rPr>
              <w:t>定性</w:t>
            </w:r>
          </w:p>
        </w:tc>
        <w:tc>
          <w:tcPr>
            <w:tcW w:w="1679" w:type="pct"/>
            <w:vAlign w:val="center"/>
          </w:tcPr>
          <w:p>
            <w:pPr>
              <w:jc w:val="left"/>
              <w:rPr>
                <w:rFonts w:hint="default" w:ascii="Times New Roman" w:hAnsi="Times New Roman" w:eastAsia="仿宋_GB2312" w:cs="Times New Roman"/>
                <w:color w:val="auto"/>
                <w:sz w:val="22"/>
                <w:szCs w:val="30"/>
                <w:highlight w:val="none"/>
              </w:rPr>
            </w:pPr>
          </w:p>
        </w:tc>
      </w:tr>
    </w:tbl>
    <w:p>
      <w:pPr>
        <w:bidi w:val="0"/>
        <w:rPr>
          <w:rFonts w:hint="default" w:ascii="Times New Roman" w:hAnsi="Times New Roman" w:cs="Times New Roman"/>
          <w:color w:val="auto"/>
          <w:highlight w:val="none"/>
        </w:rPr>
      </w:pPr>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企业绿色供应链管理指数的计算公式如下</w:t>
      </w:r>
      <w:r>
        <w:rPr>
          <w:rFonts w:hint="default" w:ascii="Times New Roman" w:hAnsi="Times New Roman" w:eastAsia="仿宋_GB2312" w:cs="Times New Roman"/>
          <w:color w:val="auto"/>
          <w:kern w:val="0"/>
          <w:sz w:val="32"/>
          <w:szCs w:val="32"/>
          <w:highlight w:val="none"/>
          <w:lang w:eastAsia="zh-CN"/>
        </w:rPr>
        <w:t>：</w:t>
      </w:r>
    </w:p>
    <w:p>
      <w:pPr>
        <w:autoSpaceDE w:val="0"/>
        <w:autoSpaceDN w:val="0"/>
        <w:adjustRightInd w:val="0"/>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GSCI=X</w:t>
      </w:r>
      <w:r>
        <w:rPr>
          <w:rFonts w:hint="default" w:ascii="Times New Roman" w:hAnsi="Times New Roman" w:eastAsia="仿宋_GB2312" w:cs="Times New Roman"/>
          <w:color w:val="auto"/>
          <w:kern w:val="0"/>
          <w:sz w:val="32"/>
          <w:szCs w:val="32"/>
          <w:highlight w:val="none"/>
          <w:vertAlign w:val="subscript"/>
        </w:rPr>
        <w:t>11</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12</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13</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21</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22</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23</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24</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25</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26</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31</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32</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41</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42</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43</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44</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51</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61</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62</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63</w:t>
      </w:r>
      <w:r>
        <w:rPr>
          <w:rFonts w:hint="default" w:ascii="Times New Roman" w:hAnsi="Times New Roman" w:eastAsia="仿宋_GB2312" w:cs="Times New Roman"/>
          <w:color w:val="auto"/>
          <w:kern w:val="0"/>
          <w:sz w:val="32"/>
          <w:szCs w:val="32"/>
          <w:highlight w:val="none"/>
        </w:rPr>
        <w:t>+X</w:t>
      </w:r>
      <w:r>
        <w:rPr>
          <w:rFonts w:hint="default" w:ascii="Times New Roman" w:hAnsi="Times New Roman" w:eastAsia="仿宋_GB2312" w:cs="Times New Roman"/>
          <w:color w:val="auto"/>
          <w:kern w:val="0"/>
          <w:sz w:val="32"/>
          <w:szCs w:val="32"/>
          <w:highlight w:val="none"/>
          <w:vertAlign w:val="subscript"/>
        </w:rPr>
        <w:t>64</w:t>
      </w:r>
    </w:p>
    <w:p>
      <w:pPr>
        <w:autoSpaceDE w:val="0"/>
        <w:autoSpaceDN w:val="0"/>
        <w:adjustRightInd w:val="0"/>
        <w:ind w:firstLine="640" w:firstLineChars="200"/>
        <w:jc w:val="lef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式中GSCI为绿色供应链管理指数。</w:t>
      </w: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7"/>
        <w:ind w:left="0" w:leftChars="0" w:firstLine="0" w:firstLineChars="0"/>
        <w:rPr>
          <w:rFonts w:hint="default" w:ascii="Times New Roman" w:hAnsi="Times New Roman" w:eastAsia="仿宋_GB2312" w:cs="Times New Roman"/>
          <w:color w:val="auto"/>
          <w:sz w:val="32"/>
          <w:szCs w:val="32"/>
          <w:highlight w:val="none"/>
        </w:rPr>
      </w:pPr>
    </w:p>
    <w:p>
      <w:pPr>
        <w:pStyle w:val="4"/>
        <w:bidi w:val="0"/>
        <w:outlineLvl w:val="0"/>
        <w:rPr>
          <w:rFonts w:hint="default" w:ascii="Times New Roman" w:hAnsi="Times New Roman" w:eastAsia="黑体" w:cs="Times New Roman"/>
          <w:b w:val="0"/>
          <w:bCs w:val="0"/>
          <w:color w:val="auto"/>
          <w:highlight w:val="none"/>
          <w:lang w:val="en-US" w:eastAsia="zh-CN"/>
        </w:rPr>
      </w:pPr>
      <w:bookmarkStart w:id="43" w:name="_Toc23737"/>
      <w:bookmarkStart w:id="44" w:name="_Toc7991"/>
      <w:r>
        <w:rPr>
          <w:rFonts w:hint="default" w:ascii="Times New Roman" w:hAnsi="Times New Roman" w:eastAsia="黑体" w:cs="Times New Roman"/>
          <w:b w:val="0"/>
          <w:bCs w:val="0"/>
          <w:color w:val="auto"/>
          <w:highlight w:val="none"/>
          <w:lang w:val="en-US" w:eastAsia="zh-CN"/>
        </w:rPr>
        <w:t>附件1绿色工厂评价报告格式</w:t>
      </w:r>
      <w:bookmarkEnd w:id="43"/>
      <w:bookmarkEnd w:id="44"/>
    </w:p>
    <w:p>
      <w:pPr>
        <w:spacing w:line="360" w:lineRule="auto"/>
        <w:rPr>
          <w:rFonts w:hint="default" w:ascii="Times New Roman" w:hAnsi="Times New Roman" w:cs="Times New Roman"/>
          <w:color w:val="auto"/>
          <w:sz w:val="30"/>
          <w:highlight w:val="none"/>
        </w:rPr>
      </w:pPr>
      <w:r>
        <w:rPr>
          <w:rFonts w:hint="default" w:ascii="Times New Roman" w:hAnsi="Times New Roman" w:cs="Times New Roman"/>
          <w:color w:val="auto"/>
          <w:sz w:val="30"/>
          <w:highlight w:val="none"/>
        </w:rPr>
        <w:t xml:space="preserve">                                 </w:t>
      </w:r>
    </w:p>
    <w:p>
      <w:pPr>
        <w:spacing w:line="360" w:lineRule="auto"/>
        <w:rPr>
          <w:rFonts w:hint="default" w:ascii="Times New Roman" w:hAnsi="Times New Roman" w:cs="Times New Roman"/>
          <w:color w:val="auto"/>
          <w:sz w:val="28"/>
          <w:highlight w:val="none"/>
        </w:rPr>
      </w:pPr>
    </w:p>
    <w:p>
      <w:pPr>
        <w:spacing w:line="360" w:lineRule="auto"/>
        <w:jc w:val="center"/>
        <w:rPr>
          <w:rFonts w:hint="default" w:ascii="Times New Roman" w:hAnsi="Times New Roman" w:eastAsia="黑体" w:cs="Times New Roman"/>
          <w:bCs/>
          <w:color w:val="auto"/>
          <w:sz w:val="52"/>
          <w:szCs w:val="52"/>
          <w:highlight w:val="none"/>
        </w:rPr>
      </w:pPr>
      <w:r>
        <w:rPr>
          <w:rFonts w:hint="default" w:ascii="Times New Roman" w:hAnsi="Times New Roman" w:eastAsia="黑体" w:cs="Times New Roman"/>
          <w:bCs/>
          <w:color w:val="auto"/>
          <w:sz w:val="52"/>
          <w:szCs w:val="52"/>
          <w:highlight w:val="none"/>
        </w:rPr>
        <w:t>绿色工厂评价报告</w:t>
      </w:r>
    </w:p>
    <w:p>
      <w:pPr>
        <w:spacing w:line="360" w:lineRule="auto"/>
        <w:rPr>
          <w:rFonts w:hint="default" w:ascii="Times New Roman" w:hAnsi="Times New Roman" w:cs="Times New Roman"/>
          <w:b/>
          <w:color w:val="auto"/>
          <w:sz w:val="52"/>
          <w:highlight w:val="none"/>
        </w:rPr>
      </w:pPr>
    </w:p>
    <w:p>
      <w:pPr>
        <w:spacing w:line="360" w:lineRule="auto"/>
        <w:rPr>
          <w:rFonts w:hint="default" w:ascii="Times New Roman" w:hAnsi="Times New Roman" w:cs="Times New Roman"/>
          <w:b/>
          <w:color w:val="auto"/>
          <w:sz w:val="52"/>
          <w:highlight w:val="none"/>
        </w:rPr>
      </w:pPr>
    </w:p>
    <w:p>
      <w:pPr>
        <w:spacing w:line="360" w:lineRule="auto"/>
        <w:rPr>
          <w:rFonts w:hint="default" w:ascii="Times New Roman" w:hAnsi="Times New Roman" w:cs="Times New Roman"/>
          <w:b/>
          <w:color w:val="auto"/>
          <w:sz w:val="52"/>
          <w:highlight w:val="none"/>
        </w:rPr>
      </w:pPr>
    </w:p>
    <w:p>
      <w:pPr>
        <w:spacing w:line="360" w:lineRule="auto"/>
        <w:rPr>
          <w:rFonts w:hint="default" w:ascii="Times New Roman" w:hAnsi="Times New Roman" w:eastAsia="仿宋_GB2312" w:cs="Times New Roman"/>
          <w:b/>
          <w:color w:val="auto"/>
          <w:sz w:val="52"/>
          <w:highlight w:val="none"/>
        </w:rPr>
      </w:pPr>
    </w:p>
    <w:p>
      <w:pPr>
        <w:spacing w:line="360" w:lineRule="auto"/>
        <w:ind w:firstLine="1800" w:firstLineChars="600"/>
        <w:rPr>
          <w:rFonts w:hint="default" w:ascii="Times New Roman" w:hAnsi="Times New Roman" w:eastAsia="仿宋_GB2312" w:cs="Times New Roman"/>
          <w:color w:val="auto"/>
          <w:sz w:val="30"/>
          <w:highlight w:val="none"/>
          <w:u w:val="single"/>
        </w:rPr>
      </w:pPr>
      <w:r>
        <w:rPr>
          <w:rFonts w:hint="default" w:ascii="Times New Roman" w:hAnsi="Times New Roman" w:eastAsia="仿宋_GB2312" w:cs="Times New Roman"/>
          <w:color w:val="auto"/>
          <w:sz w:val="30"/>
          <w:highlight w:val="none"/>
        </w:rPr>
        <w:t>申报单位：</w:t>
      </w:r>
      <w:r>
        <w:rPr>
          <w:rFonts w:hint="default" w:ascii="Times New Roman" w:hAnsi="Times New Roman" w:eastAsia="仿宋_GB2312" w:cs="Times New Roman"/>
          <w:color w:val="auto"/>
          <w:sz w:val="30"/>
          <w:highlight w:val="none"/>
          <w:u w:val="single"/>
        </w:rPr>
        <w:t xml:space="preserve">                          </w:t>
      </w:r>
    </w:p>
    <w:p>
      <w:pPr>
        <w:spacing w:line="360" w:lineRule="auto"/>
        <w:ind w:firstLine="1800" w:firstLineChars="600"/>
        <w:rPr>
          <w:rFonts w:hint="default" w:ascii="Times New Roman" w:hAnsi="Times New Roman" w:eastAsia="仿宋_GB2312" w:cs="Times New Roman"/>
          <w:color w:val="auto"/>
          <w:sz w:val="30"/>
          <w:highlight w:val="none"/>
          <w:u w:val="single"/>
        </w:rPr>
      </w:pPr>
    </w:p>
    <w:p>
      <w:pPr>
        <w:spacing w:line="360" w:lineRule="auto"/>
        <w:ind w:firstLine="1800" w:firstLineChars="600"/>
        <w:rPr>
          <w:rFonts w:hint="default" w:ascii="Times New Roman" w:hAnsi="Times New Roman" w:eastAsia="仿宋_GB2312" w:cs="Times New Roman"/>
          <w:color w:val="auto"/>
          <w:sz w:val="30"/>
          <w:highlight w:val="none"/>
        </w:rPr>
      </w:pPr>
      <w:r>
        <w:rPr>
          <w:rFonts w:hint="default" w:ascii="Times New Roman" w:hAnsi="Times New Roman" w:eastAsia="仿宋_GB2312" w:cs="Times New Roman"/>
          <w:color w:val="auto"/>
          <w:sz w:val="30"/>
          <w:highlight w:val="none"/>
        </w:rPr>
        <w:t>所在市</w:t>
      </w:r>
      <w:r>
        <w:rPr>
          <w:rFonts w:hint="default" w:ascii="Times New Roman" w:hAnsi="Times New Roman" w:eastAsia="仿宋_GB2312" w:cs="Times New Roman"/>
          <w:color w:val="auto"/>
          <w:sz w:val="30"/>
          <w:highlight w:val="none"/>
          <w:lang w:eastAsia="zh-CN"/>
        </w:rPr>
        <w:t>（</w:t>
      </w:r>
      <w:r>
        <w:rPr>
          <w:rFonts w:hint="default" w:ascii="Times New Roman" w:hAnsi="Times New Roman" w:eastAsia="仿宋_GB2312" w:cs="Times New Roman"/>
          <w:color w:val="auto"/>
          <w:sz w:val="30"/>
          <w:highlight w:val="none"/>
        </w:rPr>
        <w:t>州</w:t>
      </w:r>
      <w:r>
        <w:rPr>
          <w:rFonts w:hint="default" w:ascii="Times New Roman" w:hAnsi="Times New Roman" w:eastAsia="仿宋_GB2312" w:cs="Times New Roman"/>
          <w:color w:val="auto"/>
          <w:sz w:val="30"/>
          <w:highlight w:val="none"/>
          <w:lang w:eastAsia="zh-CN"/>
        </w:rPr>
        <w:t>）</w:t>
      </w:r>
      <w:r>
        <w:rPr>
          <w:rFonts w:hint="default" w:ascii="Times New Roman" w:hAnsi="Times New Roman" w:eastAsia="仿宋_GB2312" w:cs="Times New Roman"/>
          <w:color w:val="auto"/>
          <w:sz w:val="30"/>
          <w:highlight w:val="none"/>
        </w:rPr>
        <w:t>：</w:t>
      </w:r>
      <w:r>
        <w:rPr>
          <w:rFonts w:hint="default" w:ascii="Times New Roman" w:hAnsi="Times New Roman" w:eastAsia="仿宋_GB2312" w:cs="Times New Roman"/>
          <w:color w:val="auto"/>
          <w:sz w:val="30"/>
          <w:highlight w:val="none"/>
          <w:u w:val="single"/>
        </w:rPr>
        <w:t xml:space="preserve">                      </w:t>
      </w:r>
    </w:p>
    <w:p>
      <w:pPr>
        <w:spacing w:line="360" w:lineRule="auto"/>
        <w:ind w:firstLine="1800" w:firstLineChars="600"/>
        <w:rPr>
          <w:rFonts w:hint="default" w:ascii="Times New Roman" w:hAnsi="Times New Roman" w:eastAsia="仿宋_GB2312" w:cs="Times New Roman"/>
          <w:color w:val="auto"/>
          <w:sz w:val="30"/>
          <w:highlight w:val="none"/>
        </w:rPr>
      </w:pPr>
    </w:p>
    <w:p>
      <w:pPr>
        <w:spacing w:line="360" w:lineRule="auto"/>
        <w:rPr>
          <w:rFonts w:hint="default" w:ascii="Times New Roman" w:hAnsi="Times New Roman" w:cs="Times New Roman"/>
          <w:color w:val="auto"/>
          <w:sz w:val="30"/>
          <w:highlight w:val="none"/>
        </w:rPr>
      </w:pPr>
    </w:p>
    <w:p>
      <w:pPr>
        <w:spacing w:line="360" w:lineRule="auto"/>
        <w:rPr>
          <w:rFonts w:hint="default" w:ascii="Times New Roman" w:hAnsi="Times New Roman" w:cs="Times New Roman"/>
          <w:color w:val="auto"/>
          <w:sz w:val="30"/>
          <w:highlight w:val="none"/>
        </w:rPr>
      </w:pPr>
    </w:p>
    <w:p>
      <w:pPr>
        <w:spacing w:line="360" w:lineRule="auto"/>
        <w:rPr>
          <w:rFonts w:hint="default" w:ascii="Times New Roman" w:hAnsi="Times New Roman" w:cs="Times New Roman"/>
          <w:color w:val="auto"/>
          <w:sz w:val="30"/>
          <w:highlight w:val="none"/>
        </w:rPr>
      </w:pPr>
    </w:p>
    <w:p>
      <w:pPr>
        <w:spacing w:line="360" w:lineRule="auto"/>
        <w:rPr>
          <w:rFonts w:hint="default" w:ascii="Times New Roman" w:hAnsi="Times New Roman" w:cs="Times New Roman"/>
          <w:color w:val="auto"/>
          <w:sz w:val="30"/>
          <w:highlight w:val="none"/>
        </w:rPr>
      </w:pPr>
    </w:p>
    <w:p>
      <w:pPr>
        <w:spacing w:line="360" w:lineRule="auto"/>
        <w:jc w:val="center"/>
        <w:rPr>
          <w:rFonts w:hint="default" w:ascii="Times New Roman" w:hAnsi="Times New Roman" w:eastAsia="仿宋_GB2312" w:cs="Times New Roman"/>
          <w:color w:val="auto"/>
          <w:sz w:val="30"/>
          <w:highlight w:val="none"/>
        </w:rPr>
      </w:pPr>
      <w:r>
        <w:rPr>
          <w:rFonts w:hint="default" w:ascii="Times New Roman" w:hAnsi="Times New Roman" w:eastAsia="仿宋_GB2312" w:cs="Times New Roman"/>
          <w:color w:val="auto"/>
          <w:sz w:val="30"/>
          <w:highlight w:val="none"/>
        </w:rPr>
        <w:t>贵州省工业和信息化厅制</w:t>
      </w:r>
    </w:p>
    <w:p>
      <w:pPr>
        <w:spacing w:line="360" w:lineRule="auto"/>
        <w:jc w:val="center"/>
        <w:rPr>
          <w:rFonts w:hint="default" w:ascii="Times New Roman" w:hAnsi="Times New Roman" w:eastAsia="仿宋_GB2312" w:cs="Times New Roman"/>
          <w:color w:val="auto"/>
          <w:sz w:val="30"/>
          <w:highlight w:val="none"/>
        </w:rPr>
      </w:pPr>
      <w:r>
        <w:rPr>
          <w:rFonts w:hint="default" w:ascii="Times New Roman" w:hAnsi="Times New Roman" w:eastAsia="仿宋_GB2312" w:cs="Times New Roman"/>
          <w:color w:val="auto"/>
          <w:sz w:val="30"/>
          <w:highlight w:val="none"/>
        </w:rPr>
        <w:t>20  年    月    日</w:t>
      </w:r>
    </w:p>
    <w:p>
      <w:pPr>
        <w:spacing w:line="360" w:lineRule="auto"/>
        <w:rPr>
          <w:rFonts w:hint="default" w:ascii="Times New Roman" w:hAnsi="Times New Roman" w:eastAsia="仿宋_GB2312" w:cs="Times New Roman"/>
          <w:b/>
          <w:color w:val="auto"/>
          <w:sz w:val="30"/>
          <w:highlight w:val="none"/>
        </w:rPr>
        <w:sectPr>
          <w:headerReference r:id="rId6" w:type="default"/>
          <w:footerReference r:id="rId7"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spacing w:line="360" w:lineRule="auto"/>
        <w:jc w:val="center"/>
        <w:rPr>
          <w:rFonts w:hint="default" w:ascii="Times New Roman" w:hAnsi="Times New Roman" w:eastAsia="黑体" w:cs="Times New Roman"/>
          <w:color w:val="auto"/>
          <w:sz w:val="48"/>
          <w:szCs w:val="48"/>
          <w:highlight w:val="none"/>
        </w:rPr>
      </w:pPr>
      <w:r>
        <w:rPr>
          <w:rFonts w:hint="default" w:ascii="Times New Roman" w:hAnsi="Times New Roman" w:eastAsia="黑体" w:cs="Times New Roman"/>
          <w:color w:val="auto"/>
          <w:sz w:val="48"/>
          <w:szCs w:val="48"/>
          <w:highlight w:val="none"/>
        </w:rPr>
        <w:t>填 写 说 明</w:t>
      </w:r>
    </w:p>
    <w:p>
      <w:pPr>
        <w:spacing w:line="360" w:lineRule="auto"/>
        <w:rPr>
          <w:rFonts w:hint="default" w:ascii="Times New Roman" w:hAnsi="Times New Roman" w:eastAsia="仿宋_GB2312" w:cs="Times New Roman"/>
          <w:b/>
          <w:color w:val="auto"/>
          <w:sz w:val="30"/>
          <w:highlight w:val="none"/>
        </w:rPr>
      </w:pPr>
    </w:p>
    <w:p>
      <w:pPr>
        <w:tabs>
          <w:tab w:val="left" w:pos="1152"/>
        </w:tabs>
        <w:spacing w:line="580" w:lineRule="exac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一、申请企业应当准确、如实填报。</w:t>
      </w:r>
    </w:p>
    <w:p>
      <w:pPr>
        <w:tabs>
          <w:tab w:val="left" w:pos="1152"/>
        </w:tabs>
        <w:spacing w:line="580" w:lineRule="exac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二、所属行业请依据GB/T 4754《国民经济行业分类》填写；单位性质依据营业执照中的类型填写。</w:t>
      </w:r>
    </w:p>
    <w:p>
      <w:pPr>
        <w:tabs>
          <w:tab w:val="left" w:pos="1152"/>
        </w:tabs>
        <w:spacing w:line="580" w:lineRule="exac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三、有关项目页面不够时，可加附页。</w:t>
      </w:r>
    </w:p>
    <w:p>
      <w:pPr>
        <w:tabs>
          <w:tab w:val="left" w:pos="1152"/>
        </w:tabs>
        <w:spacing w:line="580" w:lineRule="exact"/>
        <w:rPr>
          <w:rFonts w:hint="default" w:ascii="Times New Roman" w:hAnsi="Times New Roman" w:eastAsia="仿宋_GB2312" w:cs="Times New Roman"/>
          <w:color w:val="auto"/>
          <w:kern w:val="0"/>
          <w:sz w:val="32"/>
          <w:szCs w:val="32"/>
          <w:highlight w:val="none"/>
        </w:rPr>
      </w:pPr>
    </w:p>
    <w:p>
      <w:pPr>
        <w:jc w:val="center"/>
        <w:rPr>
          <w:rFonts w:hint="default" w:ascii="Times New Roman" w:hAnsi="Times New Roman" w:eastAsia="黑体" w:cs="Times New Roman"/>
          <w:color w:val="auto"/>
          <w:sz w:val="32"/>
          <w:szCs w:val="32"/>
          <w:highlight w:val="none"/>
        </w:rPr>
      </w:pPr>
      <w:r>
        <w:rPr>
          <w:rFonts w:hint="default" w:ascii="Times New Roman" w:hAnsi="Times New Roman" w:eastAsia="仿宋" w:cs="Times New Roman"/>
          <w:color w:val="auto"/>
          <w:sz w:val="32"/>
          <w:szCs w:val="32"/>
          <w:highlight w:val="none"/>
        </w:rPr>
        <w:br w:type="page"/>
      </w:r>
      <w:r>
        <w:rPr>
          <w:rFonts w:hint="default" w:ascii="Times New Roman" w:hAnsi="Times New Roman" w:eastAsia="黑体" w:cs="Times New Roman"/>
          <w:color w:val="auto"/>
          <w:sz w:val="32"/>
          <w:szCs w:val="32"/>
          <w:highlight w:val="none"/>
        </w:rPr>
        <w:t>基本信息表</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5"/>
        <w:gridCol w:w="2978"/>
        <w:gridCol w:w="1536"/>
        <w:gridCol w:w="2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工厂名称</w:t>
            </w:r>
          </w:p>
        </w:tc>
        <w:tc>
          <w:tcPr>
            <w:tcW w:w="6687" w:type="dxa"/>
            <w:gridSpan w:val="3"/>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eastAsia="zh-CN"/>
              </w:rPr>
              <w:t>通讯</w:t>
            </w:r>
            <w:r>
              <w:rPr>
                <w:rFonts w:hint="default" w:ascii="Times New Roman" w:hAnsi="Times New Roman" w:eastAsia="仿宋_GB2312" w:cs="Times New Roman"/>
                <w:color w:val="auto"/>
                <w:kern w:val="0"/>
                <w:sz w:val="24"/>
                <w:highlight w:val="none"/>
              </w:rPr>
              <w:t>地址</w:t>
            </w:r>
          </w:p>
        </w:tc>
        <w:tc>
          <w:tcPr>
            <w:tcW w:w="6687" w:type="dxa"/>
            <w:gridSpan w:val="3"/>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所属行业</w:t>
            </w:r>
          </w:p>
        </w:tc>
        <w:tc>
          <w:tcPr>
            <w:tcW w:w="2978" w:type="dxa"/>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c>
          <w:tcPr>
            <w:tcW w:w="1536" w:type="dxa"/>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lang w:eastAsia="zh-CN"/>
              </w:rPr>
            </w:pPr>
            <w:r>
              <w:rPr>
                <w:rFonts w:hint="default" w:ascii="Times New Roman" w:hAnsi="Times New Roman" w:eastAsia="仿宋_GB2312" w:cs="Times New Roman"/>
                <w:color w:val="auto"/>
                <w:kern w:val="0"/>
                <w:sz w:val="24"/>
                <w:highlight w:val="none"/>
                <w:lang w:eastAsia="zh-CN"/>
              </w:rPr>
              <w:t>主要产品</w:t>
            </w:r>
          </w:p>
        </w:tc>
        <w:tc>
          <w:tcPr>
            <w:tcW w:w="2173" w:type="dxa"/>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单位性质</w:t>
            </w:r>
          </w:p>
        </w:tc>
        <w:tc>
          <w:tcPr>
            <w:tcW w:w="6687" w:type="dxa"/>
            <w:gridSpan w:val="3"/>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内资（□国有□集体□民营）□中外合资□港澳台□外商独资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统一社会</w:t>
            </w:r>
          </w:p>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信用代码</w:t>
            </w:r>
          </w:p>
        </w:tc>
        <w:tc>
          <w:tcPr>
            <w:tcW w:w="2978"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p>
        </w:tc>
        <w:tc>
          <w:tcPr>
            <w:tcW w:w="153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法定代表人</w:t>
            </w:r>
          </w:p>
        </w:tc>
        <w:tc>
          <w:tcPr>
            <w:tcW w:w="2173"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注册机关</w:t>
            </w:r>
          </w:p>
        </w:tc>
        <w:tc>
          <w:tcPr>
            <w:tcW w:w="2978" w:type="dxa"/>
            <w:tcBorders>
              <w:tl2br w:val="nil"/>
              <w:tr2bl w:val="nil"/>
            </w:tcBorders>
            <w:noWrap w:val="0"/>
            <w:vAlign w:val="center"/>
          </w:tcPr>
          <w:p>
            <w:pPr>
              <w:jc w:val="left"/>
              <w:rPr>
                <w:rFonts w:hint="default" w:ascii="Times New Roman" w:hAnsi="Times New Roman" w:eastAsia="仿宋_GB2312" w:cs="Times New Roman"/>
                <w:color w:val="auto"/>
                <w:highlight w:val="none"/>
              </w:rPr>
            </w:pPr>
          </w:p>
        </w:tc>
        <w:tc>
          <w:tcPr>
            <w:tcW w:w="153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注册资本</w:t>
            </w:r>
          </w:p>
        </w:tc>
        <w:tc>
          <w:tcPr>
            <w:tcW w:w="2173" w:type="dxa"/>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成立日期</w:t>
            </w:r>
          </w:p>
        </w:tc>
        <w:tc>
          <w:tcPr>
            <w:tcW w:w="2978" w:type="dxa"/>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c>
          <w:tcPr>
            <w:tcW w:w="153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有效期</w:t>
            </w:r>
          </w:p>
        </w:tc>
        <w:tc>
          <w:tcPr>
            <w:tcW w:w="2173" w:type="dxa"/>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申报工作</w:t>
            </w:r>
          </w:p>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联系部门</w:t>
            </w:r>
          </w:p>
        </w:tc>
        <w:tc>
          <w:tcPr>
            <w:tcW w:w="2978" w:type="dxa"/>
            <w:tcBorders>
              <w:tl2br w:val="nil"/>
              <w:tr2bl w:val="nil"/>
            </w:tcBorders>
            <w:noWrap w:val="0"/>
            <w:vAlign w:val="center"/>
          </w:tcPr>
          <w:p>
            <w:pPr>
              <w:widowControl/>
              <w:jc w:val="left"/>
              <w:rPr>
                <w:rFonts w:hint="default" w:ascii="Times New Roman" w:hAnsi="Times New Roman" w:eastAsia="仿宋_GB2312" w:cs="Times New Roman"/>
                <w:color w:val="auto"/>
                <w:kern w:val="0"/>
                <w:sz w:val="24"/>
                <w:highlight w:val="none"/>
              </w:rPr>
            </w:pPr>
          </w:p>
        </w:tc>
        <w:tc>
          <w:tcPr>
            <w:tcW w:w="153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联系人</w:t>
            </w:r>
          </w:p>
        </w:tc>
        <w:tc>
          <w:tcPr>
            <w:tcW w:w="2173" w:type="dxa"/>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联系电话</w:t>
            </w:r>
          </w:p>
        </w:tc>
        <w:tc>
          <w:tcPr>
            <w:tcW w:w="2978" w:type="dxa"/>
            <w:tcBorders>
              <w:tl2br w:val="nil"/>
              <w:tr2bl w:val="nil"/>
            </w:tcBorders>
            <w:noWrap w:val="0"/>
            <w:vAlign w:val="center"/>
          </w:tcPr>
          <w:p>
            <w:pPr>
              <w:widowControl/>
              <w:jc w:val="left"/>
              <w:rPr>
                <w:rFonts w:hint="default" w:ascii="Times New Roman" w:hAnsi="Times New Roman" w:eastAsia="仿宋_GB2312" w:cs="Times New Roman"/>
                <w:color w:val="auto"/>
                <w:kern w:val="0"/>
                <w:sz w:val="24"/>
                <w:highlight w:val="none"/>
              </w:rPr>
            </w:pPr>
          </w:p>
        </w:tc>
        <w:tc>
          <w:tcPr>
            <w:tcW w:w="153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电子邮箱</w:t>
            </w:r>
          </w:p>
        </w:tc>
        <w:tc>
          <w:tcPr>
            <w:tcW w:w="2173" w:type="dxa"/>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588"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val="en-US" w:eastAsia="zh-CN"/>
              </w:rPr>
              <w:t>工厂</w:t>
            </w:r>
            <w:r>
              <w:rPr>
                <w:rFonts w:hint="default" w:ascii="Times New Roman" w:hAnsi="Times New Roman" w:eastAsia="仿宋_GB2312" w:cs="Times New Roman"/>
                <w:color w:val="auto"/>
                <w:kern w:val="0"/>
                <w:sz w:val="24"/>
                <w:highlight w:val="none"/>
              </w:rPr>
              <w:t>简介</w:t>
            </w:r>
          </w:p>
        </w:tc>
        <w:tc>
          <w:tcPr>
            <w:tcW w:w="6687" w:type="dxa"/>
            <w:gridSpan w:val="3"/>
            <w:tcBorders>
              <w:tl2br w:val="nil"/>
              <w:tr2bl w:val="nil"/>
            </w:tcBorders>
            <w:noWrap w:val="0"/>
            <w:vAlign w:val="top"/>
          </w:tcPr>
          <w:p>
            <w:pPr>
              <w:widowControl/>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（至少应包含：企业</w:t>
            </w:r>
            <w:r>
              <w:rPr>
                <w:rFonts w:hint="default" w:ascii="Times New Roman" w:hAnsi="Times New Roman" w:eastAsia="仿宋_GB2312" w:cs="Times New Roman"/>
                <w:color w:val="auto"/>
                <w:kern w:val="0"/>
                <w:sz w:val="24"/>
                <w:highlight w:val="none"/>
                <w:lang w:val="en-US" w:eastAsia="zh-CN"/>
              </w:rPr>
              <w:t>基本情况、经营状况、主要工艺</w:t>
            </w:r>
            <w:r>
              <w:rPr>
                <w:rFonts w:hint="default" w:ascii="Times New Roman" w:hAnsi="Times New Roman" w:eastAsia="仿宋_GB2312" w:cs="Times New Roman"/>
                <w:color w:val="auto"/>
                <w:kern w:val="0"/>
                <w:sz w:val="24"/>
                <w:highlight w:val="none"/>
              </w:rPr>
              <w:t>、所获荣誉情况等</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500字以内</w:t>
            </w:r>
            <w:r>
              <w:rPr>
                <w:rFonts w:hint="default" w:ascii="Times New Roman" w:hAnsi="Times New Roman" w:eastAsia="仿宋_GB2312" w:cs="Times New Roman"/>
                <w:color w:val="auto"/>
                <w:kern w:val="0"/>
                <w:sz w:val="24"/>
                <w:highlight w:val="none"/>
              </w:rPr>
              <w:t>）</w:t>
            </w:r>
          </w:p>
          <w:p>
            <w:pPr>
              <w:widowControl/>
              <w:rPr>
                <w:rFonts w:hint="default" w:ascii="Times New Roman" w:hAnsi="Times New Roman" w:eastAsia="仿宋_GB2312" w:cs="Times New Roman"/>
                <w:color w:val="auto"/>
                <w:kern w:val="0"/>
                <w:sz w:val="24"/>
                <w:highlight w:val="none"/>
              </w:rPr>
            </w:pPr>
          </w:p>
          <w:p>
            <w:pPr>
              <w:widowControl/>
              <w:rPr>
                <w:rFonts w:hint="default" w:ascii="Times New Roman" w:hAnsi="Times New Roman" w:eastAsia="仿宋_GB2312" w:cs="Times New Roman"/>
                <w:color w:val="auto"/>
                <w:kern w:val="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53" w:hRule="atLeast"/>
          <w:jc w:val="center"/>
        </w:trPr>
        <w:tc>
          <w:tcPr>
            <w:tcW w:w="1645"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绿色工厂创建经验及成效</w:t>
            </w:r>
          </w:p>
        </w:tc>
        <w:tc>
          <w:tcPr>
            <w:tcW w:w="6687" w:type="dxa"/>
            <w:gridSpan w:val="3"/>
            <w:tcBorders>
              <w:tl2br w:val="nil"/>
              <w:tr2bl w:val="nil"/>
            </w:tcBorders>
            <w:noWrap w:val="0"/>
            <w:vAlign w:val="center"/>
          </w:tcPr>
          <w:p>
            <w:pPr>
              <w:widowControl/>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val="en-US" w:eastAsia="zh-CN"/>
              </w:rPr>
              <w:t>（从</w:t>
            </w:r>
            <w:r>
              <w:rPr>
                <w:rFonts w:hint="default" w:ascii="Times New Roman" w:hAnsi="Times New Roman" w:eastAsia="仿宋_GB2312" w:cs="Times New Roman"/>
                <w:color w:val="auto"/>
                <w:kern w:val="0"/>
                <w:sz w:val="24"/>
                <w:highlight w:val="none"/>
              </w:rPr>
              <w:t>用地集约化、</w:t>
            </w:r>
            <w:r>
              <w:rPr>
                <w:rFonts w:hint="default" w:ascii="Times New Roman" w:hAnsi="Times New Roman" w:eastAsia="仿宋_GB2312" w:cs="Times New Roman"/>
                <w:color w:val="auto"/>
                <w:kern w:val="0"/>
                <w:sz w:val="24"/>
                <w:highlight w:val="none"/>
                <w:lang w:val="en-US" w:eastAsia="zh-CN"/>
              </w:rPr>
              <w:t>原料无害化、</w:t>
            </w:r>
            <w:r>
              <w:rPr>
                <w:rFonts w:hint="default" w:ascii="Times New Roman" w:hAnsi="Times New Roman" w:eastAsia="仿宋_GB2312" w:cs="Times New Roman"/>
                <w:color w:val="auto"/>
                <w:kern w:val="0"/>
                <w:sz w:val="24"/>
                <w:highlight w:val="none"/>
              </w:rPr>
              <w:t>生产洁净化、废物资源化、能源低碳化</w:t>
            </w:r>
            <w:r>
              <w:rPr>
                <w:rFonts w:hint="default" w:ascii="Times New Roman" w:hAnsi="Times New Roman" w:eastAsia="仿宋_GB2312" w:cs="Times New Roman"/>
                <w:color w:val="auto"/>
                <w:kern w:val="0"/>
                <w:sz w:val="24"/>
                <w:highlight w:val="none"/>
                <w:lang w:val="en-US" w:eastAsia="zh-CN"/>
              </w:rPr>
              <w:t>等方面概述工厂创建的经验和成效，800字以内）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6" w:hRule="atLeast"/>
          <w:jc w:val="center"/>
        </w:trPr>
        <w:tc>
          <w:tcPr>
            <w:tcW w:w="8332" w:type="dxa"/>
            <w:gridSpan w:val="4"/>
            <w:tcBorders>
              <w:tl2br w:val="nil"/>
              <w:tr2bl w:val="nil"/>
            </w:tcBorders>
            <w:noWrap w:val="0"/>
            <w:vAlign w:val="center"/>
          </w:tcPr>
          <w:p>
            <w:pPr>
              <w:widowControl/>
              <w:ind w:firstLine="0" w:firstLineChars="0"/>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b/>
                <w:color w:val="auto"/>
                <w:kern w:val="0"/>
                <w:sz w:val="24"/>
                <w:highlight w:val="none"/>
              </w:rPr>
              <w:t>材料真实性承诺:</w:t>
            </w:r>
          </w:p>
          <w:p>
            <w:pPr>
              <w:widowControl/>
              <w:ind w:firstLine="496" w:firstLineChars="207"/>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我单位郑重承诺：</w:t>
            </w:r>
            <w:r>
              <w:rPr>
                <w:rFonts w:hint="default" w:ascii="Times New Roman" w:hAnsi="Times New Roman" w:eastAsia="仿宋_GB2312" w:cs="Times New Roman"/>
                <w:color w:val="auto"/>
                <w:kern w:val="0"/>
                <w:sz w:val="24"/>
                <w:highlight w:val="none"/>
                <w:lang w:val="en-US" w:eastAsia="zh-CN"/>
              </w:rPr>
              <w:t>本工厂近三年未</w:t>
            </w:r>
            <w:r>
              <w:rPr>
                <w:rFonts w:hint="default" w:ascii="Times New Roman" w:hAnsi="Times New Roman" w:eastAsia="仿宋_GB2312" w:cs="Times New Roman"/>
                <w:color w:val="auto"/>
                <w:kern w:val="0"/>
                <w:sz w:val="24"/>
                <w:highlight w:val="none"/>
              </w:rPr>
              <w:t>发生安全（含网络安全、数据安全）、质量、环境污染等事故以及偷漏税等违法违规行为</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未</w:t>
            </w:r>
            <w:r>
              <w:rPr>
                <w:rFonts w:hint="default" w:ascii="Times New Roman" w:hAnsi="Times New Roman" w:eastAsia="仿宋_GB2312" w:cs="Times New Roman"/>
                <w:color w:val="auto"/>
                <w:kern w:val="0"/>
                <w:sz w:val="24"/>
                <w:highlight w:val="none"/>
              </w:rPr>
              <w:t>在国务院及有关部门相关督查工作中被发现存在严重问题</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不在</w:t>
            </w:r>
            <w:r>
              <w:rPr>
                <w:rFonts w:hint="default" w:ascii="Times New Roman" w:hAnsi="Times New Roman" w:eastAsia="仿宋_GB2312" w:cs="Times New Roman"/>
                <w:color w:val="auto"/>
                <w:kern w:val="0"/>
                <w:sz w:val="24"/>
                <w:highlight w:val="none"/>
              </w:rPr>
              <w:t>工业节能监察整改名单</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且不属于</w:t>
            </w:r>
            <w:r>
              <w:rPr>
                <w:rFonts w:hint="default" w:ascii="Times New Roman" w:hAnsi="Times New Roman" w:eastAsia="仿宋_GB2312" w:cs="Times New Roman"/>
                <w:color w:val="auto"/>
                <w:kern w:val="0"/>
                <w:sz w:val="24"/>
                <w:highlight w:val="none"/>
              </w:rPr>
              <w:t>失信被执行人</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本次申报绿色工厂所提交的相关数据和信息均真实、有效，愿接受并积极配合主管部门的监督抽查和核验。如有违反，愿承担由此产生的相应责任。</w:t>
            </w:r>
          </w:p>
          <w:p>
            <w:pPr>
              <w:widowControl/>
              <w:ind w:firstLine="496" w:firstLineChars="207"/>
              <w:rPr>
                <w:rFonts w:hint="default" w:ascii="Times New Roman" w:hAnsi="Times New Roman" w:eastAsia="仿宋_GB2312" w:cs="Times New Roman"/>
                <w:color w:val="auto"/>
                <w:kern w:val="0"/>
                <w:sz w:val="24"/>
                <w:highlight w:val="none"/>
              </w:rPr>
            </w:pPr>
          </w:p>
          <w:p>
            <w:pPr>
              <w:widowControl/>
              <w:wordWrap w:val="0"/>
              <w:jc w:val="center"/>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lang w:val="en-US" w:eastAsia="zh-CN"/>
              </w:rPr>
              <w:t xml:space="preserve">                           </w:t>
            </w:r>
            <w:r>
              <w:rPr>
                <w:rFonts w:hint="default" w:ascii="Times New Roman" w:hAnsi="Times New Roman" w:eastAsia="仿宋_GB2312" w:cs="Times New Roman"/>
                <w:b/>
                <w:color w:val="auto"/>
                <w:kern w:val="0"/>
                <w:sz w:val="24"/>
                <w:highlight w:val="none"/>
              </w:rPr>
              <w:t xml:space="preserve">法人或单位负责人签字：          </w:t>
            </w:r>
          </w:p>
          <w:p>
            <w:pPr>
              <w:widowControl/>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lang w:val="en-US" w:eastAsia="zh-CN"/>
              </w:rPr>
              <w:t xml:space="preserve">                                            </w:t>
            </w:r>
            <w:r>
              <w:rPr>
                <w:rFonts w:hint="default" w:ascii="Times New Roman" w:hAnsi="Times New Roman" w:eastAsia="仿宋_GB2312" w:cs="Times New Roman"/>
                <w:b/>
                <w:color w:val="auto"/>
                <w:kern w:val="0"/>
                <w:sz w:val="24"/>
                <w:highlight w:val="none"/>
              </w:rPr>
              <w:t>（</w:t>
            </w:r>
            <w:r>
              <w:rPr>
                <w:rFonts w:hint="default" w:ascii="Times New Roman" w:hAnsi="Times New Roman" w:eastAsia="仿宋_GB2312" w:cs="Times New Roman"/>
                <w:b/>
                <w:color w:val="auto"/>
                <w:kern w:val="0"/>
                <w:sz w:val="24"/>
                <w:highlight w:val="none"/>
                <w:lang w:eastAsia="zh-CN"/>
              </w:rPr>
              <w:t>公</w:t>
            </w:r>
            <w:r>
              <w:rPr>
                <w:rFonts w:hint="default" w:ascii="Times New Roman" w:hAnsi="Times New Roman" w:eastAsia="仿宋_GB2312" w:cs="Times New Roman"/>
                <w:b/>
                <w:color w:val="auto"/>
                <w:kern w:val="0"/>
                <w:sz w:val="24"/>
                <w:highlight w:val="none"/>
              </w:rPr>
              <w:t>章）</w:t>
            </w:r>
          </w:p>
          <w:p>
            <w:pPr>
              <w:widowControl/>
              <w:wordWrap w:val="0"/>
              <w:jc w:val="center"/>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lang w:val="en-US" w:eastAsia="zh-CN"/>
              </w:rPr>
              <w:t xml:space="preserve">                                            </w:t>
            </w:r>
            <w:r>
              <w:rPr>
                <w:rFonts w:hint="default" w:ascii="Times New Roman" w:hAnsi="Times New Roman" w:eastAsia="仿宋_GB2312" w:cs="Times New Roman"/>
                <w:b/>
                <w:color w:val="auto"/>
                <w:kern w:val="0"/>
                <w:sz w:val="24"/>
                <w:highlight w:val="none"/>
              </w:rPr>
              <w:t xml:space="preserve">日期：           </w:t>
            </w:r>
          </w:p>
          <w:p>
            <w:pPr>
              <w:widowControl/>
              <w:jc w:val="right"/>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b/>
                <w:color w:val="auto"/>
                <w:kern w:val="0"/>
                <w:sz w:val="24"/>
                <w:highlight w:val="none"/>
              </w:rPr>
              <w:t xml:space="preserve">         </w:t>
            </w:r>
          </w:p>
        </w:tc>
      </w:tr>
    </w:tbl>
    <w:p>
      <w:pPr>
        <w:bidi w:val="0"/>
        <w:rPr>
          <w:rFonts w:hint="default" w:ascii="Times New Roman" w:hAnsi="Times New Roman" w:cs="Times New Roman"/>
          <w:color w:val="auto"/>
          <w:highlight w:val="none"/>
        </w:rPr>
      </w:pPr>
    </w:p>
    <w:p>
      <w:pPr>
        <w:pStyle w:val="8"/>
        <w:bidi w:val="0"/>
        <w:jc w:val="center"/>
        <w:rPr>
          <w:rFonts w:hint="default"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t>基础数据表</w:t>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59"/>
        <w:gridCol w:w="3050"/>
        <w:gridCol w:w="1584"/>
        <w:gridCol w:w="1497"/>
        <w:gridCol w:w="1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评价标准（依据）</w:t>
            </w:r>
          </w:p>
        </w:tc>
        <w:tc>
          <w:tcPr>
            <w:tcW w:w="426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一级指标</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二级指标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指标数据</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指标单位</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基础情况</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营业收入</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利润</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缴税</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员工数</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人</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管理体系认证情况</w:t>
            </w:r>
          </w:p>
        </w:tc>
        <w:tc>
          <w:tcPr>
            <w:tcW w:w="247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（简述质量、环境、能源、职业健康管理体系等认证情况）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获得的主要荣誉</w:t>
            </w:r>
          </w:p>
        </w:tc>
        <w:tc>
          <w:tcPr>
            <w:tcW w:w="247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能评批复文号</w:t>
            </w:r>
          </w:p>
        </w:tc>
        <w:tc>
          <w:tcPr>
            <w:tcW w:w="247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环评批复文号</w:t>
            </w:r>
          </w:p>
        </w:tc>
        <w:tc>
          <w:tcPr>
            <w:tcW w:w="247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综合评分</w:t>
            </w:r>
          </w:p>
        </w:tc>
        <w:tc>
          <w:tcPr>
            <w:tcW w:w="247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用地集约化</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用地面积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m</w:t>
            </w:r>
            <w:r>
              <w:rPr>
                <w:rFonts w:hint="default" w:ascii="Times New Roman" w:hAnsi="Times New Roman" w:eastAsia="仿宋_GB2312" w:cs="Times New Roman"/>
                <w:i w:val="0"/>
                <w:iCs w:val="0"/>
                <w:color w:val="auto"/>
                <w:kern w:val="0"/>
                <w:sz w:val="22"/>
                <w:szCs w:val="22"/>
                <w:highlight w:val="none"/>
                <w:u w:val="none"/>
                <w:vertAlign w:val="superscript"/>
                <w:lang w:val="en-US" w:eastAsia="zh-CN" w:bidi="ar"/>
              </w:rPr>
              <w:t>2</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总建筑物建筑面积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m</w:t>
            </w:r>
            <w:r>
              <w:rPr>
                <w:rFonts w:hint="default" w:ascii="Times New Roman" w:hAnsi="Times New Roman" w:eastAsia="仿宋_GB2312" w:cs="Times New Roman"/>
                <w:i w:val="0"/>
                <w:iCs w:val="0"/>
                <w:color w:val="auto"/>
                <w:kern w:val="0"/>
                <w:sz w:val="22"/>
                <w:szCs w:val="22"/>
                <w:highlight w:val="none"/>
                <w:u w:val="none"/>
                <w:vertAlign w:val="superscript"/>
                <w:lang w:val="en-US" w:eastAsia="zh-CN" w:bidi="ar"/>
              </w:rPr>
              <w:t>2</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总构筑物建筑面积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m</w:t>
            </w:r>
            <w:r>
              <w:rPr>
                <w:rFonts w:hint="default" w:ascii="Times New Roman" w:hAnsi="Times New Roman" w:eastAsia="仿宋_GB2312" w:cs="Times New Roman"/>
                <w:i w:val="0"/>
                <w:iCs w:val="0"/>
                <w:color w:val="auto"/>
                <w:kern w:val="0"/>
                <w:sz w:val="22"/>
                <w:szCs w:val="22"/>
                <w:highlight w:val="none"/>
                <w:u w:val="none"/>
                <w:vertAlign w:val="superscript"/>
                <w:lang w:val="en-US" w:eastAsia="zh-CN" w:bidi="ar"/>
              </w:rPr>
              <w:t>2</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1.工厂容积率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总建筑物占(用)地面积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m</w:t>
            </w:r>
            <w:r>
              <w:rPr>
                <w:rFonts w:hint="default" w:ascii="Times New Roman" w:hAnsi="Times New Roman" w:eastAsia="仿宋_GB2312" w:cs="Times New Roman"/>
                <w:i w:val="0"/>
                <w:iCs w:val="0"/>
                <w:color w:val="auto"/>
                <w:kern w:val="0"/>
                <w:sz w:val="22"/>
                <w:szCs w:val="22"/>
                <w:highlight w:val="none"/>
                <w:u w:val="none"/>
                <w:vertAlign w:val="superscript"/>
                <w:lang w:val="en-US" w:eastAsia="zh-CN" w:bidi="ar"/>
              </w:rPr>
              <w:t>2</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总构筑物占(用)地面积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m</w:t>
            </w:r>
            <w:r>
              <w:rPr>
                <w:rFonts w:hint="default" w:ascii="Times New Roman" w:hAnsi="Times New Roman" w:eastAsia="仿宋_GB2312" w:cs="Times New Roman"/>
                <w:i w:val="0"/>
                <w:iCs w:val="0"/>
                <w:color w:val="auto"/>
                <w:kern w:val="0"/>
                <w:sz w:val="22"/>
                <w:szCs w:val="22"/>
                <w:highlight w:val="none"/>
                <w:u w:val="none"/>
                <w:vertAlign w:val="superscript"/>
                <w:lang w:val="en-US" w:eastAsia="zh-CN" w:bidi="ar"/>
              </w:rPr>
              <w:t>2</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2.建筑密度</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总产能</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总产值</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3.单位用地面积产能</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选填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3.单位用地面积产值</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万元/m</w:t>
            </w:r>
            <w:r>
              <w:rPr>
                <w:rFonts w:hint="default" w:ascii="Times New Roman" w:hAnsi="Times New Roman" w:eastAsia="仿宋_GB2312" w:cs="Times New Roman"/>
                <w:i w:val="0"/>
                <w:iCs w:val="0"/>
                <w:color w:val="auto"/>
                <w:kern w:val="0"/>
                <w:sz w:val="22"/>
                <w:szCs w:val="22"/>
                <w:highlight w:val="none"/>
                <w:u w:val="none"/>
                <w:vertAlign w:val="superscript"/>
                <w:lang w:val="en-US" w:eastAsia="zh-CN" w:bidi="ar"/>
              </w:rPr>
              <w:t>2</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原料无害化</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绿色物料使用量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同类物料总使用量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4.绿色物料使用率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生产洁净化</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某种主要污染物产生量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合格产品产量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5.单位产品（某种）主要污染物产生量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某种废气产生量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6.单位产品（某种）废气产生量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某种废水产生量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7.单位产品（某种）废水产生量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废物资源化</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某种主要原材料消耗总量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8.单位产品（某种）主要原材料消耗量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工业固废种类</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在备注栏填写工业固废的</w:t>
            </w:r>
            <w:r>
              <w:rPr>
                <w:rFonts w:hint="default" w:ascii="Times New Roman" w:hAnsi="Times New Roman" w:eastAsia="仿宋_GB2312" w:cs="Times New Roman"/>
                <w:b/>
                <w:bCs/>
                <w:i w:val="0"/>
                <w:iCs w:val="0"/>
                <w:color w:val="auto"/>
                <w:kern w:val="0"/>
                <w:sz w:val="22"/>
                <w:szCs w:val="22"/>
                <w:highlight w:val="none"/>
                <w:u w:val="none"/>
                <w:lang w:val="en-US" w:eastAsia="zh-CN" w:bidi="ar"/>
              </w:rPr>
              <w:t>具体名称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工业固体废物综合利用量(不含外购)</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工业固体废物产生量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综合利用往年储存量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9.工业固体废物综合利用率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工厂对外排废水处理后的回用水量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工厂向外排放的废水量(不含回用水量)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10.废水处理回用率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能源低碳化</w:t>
            </w: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电力消费量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天然气消费量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水消费量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综合能耗</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吨标准煤</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11.单位产品综合能耗</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11.能效对标水平（1级、2级、3级能效）</w:t>
            </w:r>
          </w:p>
        </w:tc>
        <w:tc>
          <w:tcPr>
            <w:tcW w:w="180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写明对标标准名称；如无相关标准可不填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二氧化碳当量排放量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7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12.单位产品碳排放量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2"/>
                <w:szCs w:val="22"/>
                <w:highlight w:val="none"/>
                <w:u w:val="none"/>
              </w:rPr>
            </w:pPr>
          </w:p>
        </w:tc>
      </w:tr>
    </w:tbl>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ind w:left="0" w:leftChars="0" w:firstLine="0" w:firstLineChars="0"/>
        <w:rPr>
          <w:rFonts w:hint="default" w:ascii="Times New Roman" w:hAnsi="Times New Roman" w:eastAsia="仿宋_GB2312" w:cs="Times New Roman"/>
          <w:color w:val="auto"/>
          <w:highlight w:val="none"/>
          <w:lang w:eastAsia="zh-CN"/>
        </w:rPr>
      </w:pPr>
    </w:p>
    <w:p>
      <w:pPr>
        <w:pStyle w:val="47"/>
        <w:rPr>
          <w:rFonts w:hint="default" w:ascii="Times New Roman" w:hAnsi="Times New Roman" w:cs="Times New Roman"/>
          <w:color w:val="auto"/>
          <w:highlight w:val="none"/>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pStyle w:val="47"/>
              <w:ind w:left="0" w:leftChars="0" w:firstLine="0" w:firstLineChars="0"/>
              <w:jc w:val="center"/>
              <w:rPr>
                <w:rFonts w:hint="default" w:ascii="Times New Roman" w:hAnsi="Times New Roman" w:eastAsia="黑体" w:cs="Times New Roman"/>
                <w:color w:val="auto"/>
                <w:kern w:val="2"/>
                <w:sz w:val="48"/>
                <w:szCs w:val="48"/>
                <w:highlight w:val="none"/>
                <w:lang w:val="en-US" w:eastAsia="zh-CN" w:bidi="ar-SA"/>
              </w:rPr>
            </w:pPr>
            <w:r>
              <w:rPr>
                <w:rFonts w:hint="default" w:ascii="Times New Roman" w:hAnsi="Times New Roman" w:eastAsia="黑体" w:cs="Times New Roman"/>
                <w:color w:val="auto"/>
                <w:kern w:val="2"/>
                <w:sz w:val="48"/>
                <w:szCs w:val="48"/>
                <w:highlight w:val="none"/>
                <w:lang w:val="en-US" w:eastAsia="zh-CN" w:bidi="ar-SA"/>
              </w:rPr>
              <w:t>形象页</w:t>
            </w:r>
          </w:p>
          <w:p>
            <w:pPr>
              <w:pStyle w:val="47"/>
              <w:ind w:left="0" w:leftChars="0" w:firstLine="0" w:firstLineChars="0"/>
              <w:jc w:val="center"/>
              <w:rPr>
                <w:rFonts w:hint="default" w:ascii="Times New Roman" w:hAnsi="Times New Roman" w:eastAsia="仿宋_GB2312" w:cs="Times New Roman"/>
                <w:color w:val="auto"/>
                <w:sz w:val="32"/>
                <w:szCs w:val="32"/>
                <w:highlight w:val="none"/>
                <w:vertAlign w:val="baseline"/>
                <w:lang w:val="en-US" w:eastAsia="zh-CN"/>
              </w:rPr>
            </w:pPr>
            <w:r>
              <w:rPr>
                <w:rFonts w:hint="default" w:ascii="Times New Roman" w:hAnsi="Times New Roman" w:eastAsia="仿宋_GB2312" w:cs="Times New Roman"/>
                <w:color w:val="auto"/>
                <w:sz w:val="32"/>
                <w:szCs w:val="32"/>
                <w:highlight w:val="none"/>
                <w:vertAlign w:val="baseline"/>
                <w:lang w:val="en-US" w:eastAsia="zh-CN"/>
              </w:rPr>
              <w:t>（</w:t>
            </w:r>
            <w:r>
              <w:rPr>
                <w:rFonts w:hint="default" w:ascii="Times New Roman" w:hAnsi="Times New Roman" w:cs="Times New Roman"/>
                <w:color w:val="auto"/>
                <w:sz w:val="32"/>
                <w:szCs w:val="32"/>
                <w:highlight w:val="none"/>
                <w:vertAlign w:val="baseline"/>
                <w:lang w:val="en-US" w:eastAsia="zh-CN"/>
              </w:rPr>
              <w:t>体现企业绿色制造形象的图片，不超过6张</w:t>
            </w:r>
            <w:r>
              <w:rPr>
                <w:rFonts w:hint="default" w:ascii="Times New Roman" w:hAnsi="Times New Roman" w:eastAsia="仿宋_GB2312" w:cs="Times New Roman"/>
                <w:color w:val="auto"/>
                <w:sz w:val="32"/>
                <w:szCs w:val="32"/>
                <w:highlight w:val="none"/>
                <w:vertAlign w:val="baseline"/>
                <w:lang w:val="en-US" w:eastAsia="zh-CN"/>
              </w:rPr>
              <w:t>）</w:t>
            </w: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ind w:left="0" w:leftChars="0" w:firstLine="0" w:firstLineChars="0"/>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tc>
      </w:tr>
    </w:tbl>
    <w:p>
      <w:pPr>
        <w:pStyle w:val="47"/>
        <w:ind w:left="0" w:leftChars="0" w:firstLine="0" w:firstLineChars="0"/>
        <w:jc w:val="center"/>
        <w:rPr>
          <w:rFonts w:hint="default" w:ascii="Times New Roman" w:hAnsi="Times New Roman" w:eastAsia="黑体" w:cs="Times New Roman"/>
          <w:bCs/>
          <w:color w:val="auto"/>
          <w:kern w:val="2"/>
          <w:sz w:val="32"/>
          <w:szCs w:val="32"/>
          <w:highlight w:val="none"/>
          <w:lang w:val="en-US" w:eastAsia="zh-CN" w:bidi="ar-SA"/>
        </w:rPr>
      </w:pPr>
    </w:p>
    <w:p>
      <w:pPr>
        <w:pStyle w:val="47"/>
        <w:ind w:left="0" w:leftChars="0" w:firstLine="0" w:firstLineChars="0"/>
        <w:jc w:val="center"/>
        <w:rPr>
          <w:rFonts w:hint="default" w:ascii="Times New Roman" w:hAnsi="Times New Roman" w:eastAsia="黑体" w:cs="Times New Roman"/>
          <w:bCs/>
          <w:color w:val="auto"/>
          <w:kern w:val="2"/>
          <w:sz w:val="32"/>
          <w:szCs w:val="32"/>
          <w:highlight w:val="none"/>
          <w:lang w:val="en-US" w:eastAsia="zh-CN" w:bidi="ar-SA"/>
        </w:rPr>
      </w:pPr>
      <w:r>
        <w:rPr>
          <w:rFonts w:hint="default" w:ascii="Times New Roman" w:hAnsi="Times New Roman" w:eastAsia="黑体" w:cs="Times New Roman"/>
          <w:bCs/>
          <w:color w:val="auto"/>
          <w:kern w:val="2"/>
          <w:sz w:val="32"/>
          <w:szCs w:val="32"/>
          <w:highlight w:val="none"/>
          <w:lang w:val="en-US" w:eastAsia="zh-CN" w:bidi="ar-SA"/>
        </w:rPr>
        <w:t>目 录</w:t>
      </w:r>
    </w:p>
    <w:p>
      <w:pPr>
        <w:snapToGrid w:val="0"/>
        <w:spacing w:line="360" w:lineRule="auto"/>
        <w:ind w:firstLine="640" w:firstLineChars="200"/>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snapToGrid w:val="0"/>
        <w:spacing w:line="360" w:lineRule="auto"/>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一、工厂基本情况</w:t>
      </w:r>
    </w:p>
    <w:p>
      <w:pPr>
        <w:pStyle w:val="67"/>
        <w:widowControl/>
        <w:snapToGrid w:val="0"/>
        <w:ind w:firstLine="64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概述企业的基本信息、发展现状、工艺产品和生产经营状况以及在绿色发展方面开展的重点工作及取得的成绩等。</w:t>
      </w:r>
    </w:p>
    <w:p>
      <w:pPr>
        <w:snapToGrid w:val="0"/>
        <w:spacing w:line="360" w:lineRule="auto"/>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二、绿色工厂创建情况</w:t>
      </w:r>
    </w:p>
    <w:p>
      <w:pPr>
        <w:pStyle w:val="67"/>
        <w:widowControl/>
        <w:snapToGrid w:val="0"/>
        <w:ind w:firstLine="64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对照《绿色工厂评价通则》（GB/T 36132-2018）</w:t>
      </w:r>
      <w:r>
        <w:rPr>
          <w:rFonts w:hint="default" w:ascii="Times New Roman" w:hAnsi="Times New Roman" w:eastAsia="仿宋_GB2312" w:cs="Times New Roman"/>
          <w:color w:val="auto"/>
          <w:kern w:val="0"/>
          <w:sz w:val="32"/>
          <w:szCs w:val="32"/>
          <w:highlight w:val="none"/>
          <w:lang w:val="en-US" w:eastAsia="zh-CN"/>
        </w:rPr>
        <w:t>或相关标准（已发布具体行业标准的）要求</w:t>
      </w:r>
      <w:r>
        <w:rPr>
          <w:rFonts w:hint="default" w:ascii="Times New Roman" w:hAnsi="Times New Roman" w:eastAsia="仿宋_GB2312" w:cs="Times New Roman"/>
          <w:color w:val="auto"/>
          <w:kern w:val="0"/>
          <w:sz w:val="32"/>
          <w:szCs w:val="32"/>
          <w:highlight w:val="none"/>
          <w:lang w:eastAsia="zh-CN"/>
        </w:rPr>
        <w:t xml:space="preserve">，对工厂基本要求的符合性以及基础设施、管理体系、能源资源投入、产品、环境排放、绩效指标等内容进行情况描述。 </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1.基本要求的符合性。主要描述</w:t>
      </w:r>
      <w:r>
        <w:rPr>
          <w:rFonts w:hint="default" w:ascii="Times New Roman" w:hAnsi="Times New Roman" w:eastAsia="仿宋_GB2312" w:cs="Times New Roman"/>
          <w:b/>
          <w:bCs/>
          <w:color w:val="auto"/>
          <w:kern w:val="0"/>
          <w:sz w:val="32"/>
          <w:szCs w:val="32"/>
          <w:highlight w:val="none"/>
          <w:lang w:val="en-US" w:eastAsia="zh-CN"/>
        </w:rPr>
        <w:t>基本要求评价表</w:t>
      </w:r>
      <w:r>
        <w:rPr>
          <w:rFonts w:hint="default" w:ascii="Times New Roman" w:hAnsi="Times New Roman" w:eastAsia="仿宋_GB2312" w:cs="Times New Roman"/>
          <w:color w:val="auto"/>
          <w:kern w:val="0"/>
          <w:sz w:val="32"/>
          <w:szCs w:val="32"/>
          <w:highlight w:val="none"/>
          <w:lang w:val="en-US" w:eastAsia="zh-CN"/>
        </w:rPr>
        <w:t>中各项要求的符合情况。</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2.</w:t>
      </w:r>
      <w:r>
        <w:rPr>
          <w:rFonts w:hint="default" w:ascii="Times New Roman" w:hAnsi="Times New Roman" w:eastAsia="仿宋_GB2312" w:cs="Times New Roman"/>
          <w:color w:val="auto"/>
          <w:kern w:val="0"/>
          <w:sz w:val="32"/>
          <w:szCs w:val="32"/>
          <w:highlight w:val="none"/>
        </w:rPr>
        <w:t>基础设施情况。主要描述工厂的建筑、照明</w:t>
      </w:r>
      <w:r>
        <w:rPr>
          <w:rFonts w:hint="default" w:ascii="Times New Roman" w:hAnsi="Times New Roman" w:eastAsia="仿宋_GB2312" w:cs="Times New Roman"/>
          <w:color w:val="auto"/>
          <w:kern w:val="0"/>
          <w:sz w:val="32"/>
          <w:szCs w:val="32"/>
          <w:highlight w:val="none"/>
          <w:lang w:eastAsia="zh-CN"/>
        </w:rPr>
        <w:t>、设备设施（包括专用设备、通用设备、计量设备及污染物处理设备设施等）</w:t>
      </w:r>
      <w:r>
        <w:rPr>
          <w:rFonts w:hint="default" w:ascii="Times New Roman" w:hAnsi="Times New Roman" w:eastAsia="仿宋_GB2312" w:cs="Times New Roman"/>
          <w:color w:val="auto"/>
          <w:kern w:val="0"/>
          <w:sz w:val="32"/>
          <w:szCs w:val="32"/>
          <w:highlight w:val="none"/>
        </w:rPr>
        <w:t>情况</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已采用的先进绿色建筑技术说明、实施情况</w:t>
      </w:r>
      <w:r>
        <w:rPr>
          <w:rFonts w:hint="default" w:ascii="Times New Roman" w:hAnsi="Times New Roman" w:eastAsia="仿宋_GB2312" w:cs="Times New Roman"/>
          <w:color w:val="auto"/>
          <w:kern w:val="0"/>
          <w:sz w:val="32"/>
          <w:szCs w:val="32"/>
          <w:highlight w:val="none"/>
        </w:rPr>
        <w:t>和现场照片，以及相关标准落实情况。</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3.</w:t>
      </w:r>
      <w:r>
        <w:rPr>
          <w:rFonts w:hint="default" w:ascii="Times New Roman" w:hAnsi="Times New Roman" w:eastAsia="仿宋_GB2312" w:cs="Times New Roman"/>
          <w:color w:val="auto"/>
          <w:kern w:val="0"/>
          <w:sz w:val="32"/>
          <w:szCs w:val="32"/>
          <w:highlight w:val="none"/>
        </w:rPr>
        <w:t>管理体系情况。主要描述工厂管理体系建设情况。</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4.</w:t>
      </w:r>
      <w:r>
        <w:rPr>
          <w:rFonts w:hint="default" w:ascii="Times New Roman" w:hAnsi="Times New Roman" w:eastAsia="仿宋_GB2312" w:cs="Times New Roman"/>
          <w:color w:val="auto"/>
          <w:kern w:val="0"/>
          <w:sz w:val="32"/>
          <w:szCs w:val="32"/>
          <w:highlight w:val="none"/>
        </w:rPr>
        <w:t>能源资源投入情况。主要描述能源投入、资源投入、采购等方面的现状，</w:t>
      </w:r>
      <w:r>
        <w:rPr>
          <w:rFonts w:hint="default" w:ascii="Times New Roman" w:hAnsi="Times New Roman" w:eastAsia="仿宋_GB2312" w:cs="Times New Roman"/>
          <w:color w:val="auto"/>
          <w:kern w:val="0"/>
          <w:sz w:val="32"/>
          <w:szCs w:val="32"/>
          <w:highlight w:val="none"/>
          <w:lang w:val="en-US" w:eastAsia="zh-CN"/>
        </w:rPr>
        <w:t>已采用的</w:t>
      </w:r>
      <w:r>
        <w:rPr>
          <w:rFonts w:hint="default" w:ascii="Times New Roman" w:hAnsi="Times New Roman" w:eastAsia="仿宋_GB2312" w:cs="Times New Roman"/>
          <w:color w:val="auto"/>
          <w:kern w:val="0"/>
          <w:sz w:val="32"/>
          <w:szCs w:val="32"/>
          <w:highlight w:val="none"/>
        </w:rPr>
        <w:t>余热利用、分布式供能、自然冷源、水循环利用</w:t>
      </w:r>
      <w:r>
        <w:rPr>
          <w:rFonts w:hint="default" w:ascii="Times New Roman" w:hAnsi="Times New Roman" w:eastAsia="仿宋_GB2312" w:cs="Times New Roman"/>
          <w:color w:val="auto"/>
          <w:kern w:val="0"/>
          <w:sz w:val="32"/>
          <w:szCs w:val="32"/>
          <w:highlight w:val="none"/>
          <w:lang w:val="en-US" w:eastAsia="zh-CN"/>
        </w:rPr>
        <w:t>等节能、节水、节材技术说明，</w:t>
      </w:r>
      <w:r>
        <w:rPr>
          <w:rFonts w:hint="default" w:ascii="Times New Roman" w:hAnsi="Times New Roman" w:eastAsia="仿宋_GB2312" w:cs="Times New Roman"/>
          <w:color w:val="auto"/>
          <w:kern w:val="0"/>
          <w:sz w:val="32"/>
          <w:szCs w:val="32"/>
          <w:highlight w:val="none"/>
        </w:rPr>
        <w:t>实施情况和现场照片</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以及相关标准落实情况。</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5.</w:t>
      </w:r>
      <w:r>
        <w:rPr>
          <w:rFonts w:hint="default" w:ascii="Times New Roman" w:hAnsi="Times New Roman" w:eastAsia="仿宋_GB2312" w:cs="Times New Roman"/>
          <w:color w:val="auto"/>
          <w:kern w:val="0"/>
          <w:sz w:val="32"/>
          <w:szCs w:val="32"/>
          <w:highlight w:val="none"/>
        </w:rPr>
        <w:t>产品情况。主要描述产品的</w:t>
      </w:r>
      <w:r>
        <w:rPr>
          <w:rFonts w:hint="default" w:ascii="Times New Roman" w:hAnsi="Times New Roman" w:eastAsia="仿宋_GB2312" w:cs="Times New Roman"/>
          <w:color w:val="auto"/>
          <w:kern w:val="0"/>
          <w:sz w:val="32"/>
          <w:szCs w:val="32"/>
          <w:highlight w:val="none"/>
          <w:lang w:eastAsia="zh-CN"/>
        </w:rPr>
        <w:t>生态</w:t>
      </w:r>
      <w:r>
        <w:rPr>
          <w:rFonts w:hint="default" w:ascii="Times New Roman" w:hAnsi="Times New Roman" w:eastAsia="仿宋_GB2312" w:cs="Times New Roman"/>
          <w:color w:val="auto"/>
          <w:kern w:val="0"/>
          <w:sz w:val="32"/>
          <w:szCs w:val="32"/>
          <w:highlight w:val="none"/>
        </w:rPr>
        <w:t>设计、有害物质使用</w:t>
      </w:r>
      <w:r>
        <w:rPr>
          <w:rFonts w:hint="default" w:ascii="Times New Roman" w:hAnsi="Times New Roman" w:eastAsia="仿宋_GB2312" w:cs="Times New Roman"/>
          <w:color w:val="auto"/>
          <w:kern w:val="0"/>
          <w:sz w:val="32"/>
          <w:szCs w:val="32"/>
          <w:highlight w:val="none"/>
          <w:lang w:eastAsia="zh-CN"/>
        </w:rPr>
        <w:t>、节能、减碳以及可回收利用</w:t>
      </w:r>
      <w:r>
        <w:rPr>
          <w:rFonts w:hint="default" w:ascii="Times New Roman" w:hAnsi="Times New Roman" w:eastAsia="仿宋_GB2312" w:cs="Times New Roman"/>
          <w:color w:val="auto"/>
          <w:kern w:val="0"/>
          <w:sz w:val="32"/>
          <w:szCs w:val="32"/>
          <w:highlight w:val="none"/>
        </w:rPr>
        <w:t>等情况，</w:t>
      </w:r>
      <w:r>
        <w:rPr>
          <w:rFonts w:hint="default" w:ascii="Times New Roman" w:hAnsi="Times New Roman" w:eastAsia="仿宋_GB2312" w:cs="Times New Roman"/>
          <w:color w:val="auto"/>
          <w:kern w:val="0"/>
          <w:sz w:val="32"/>
          <w:szCs w:val="32"/>
          <w:highlight w:val="none"/>
          <w:lang w:val="en-US" w:eastAsia="zh-CN"/>
        </w:rPr>
        <w:t>已采用的绿色设计工具、数据库情况和具体绿色设计技术说明和照片，</w:t>
      </w:r>
      <w:r>
        <w:rPr>
          <w:rFonts w:hint="default" w:ascii="Times New Roman" w:hAnsi="Times New Roman" w:eastAsia="仿宋_GB2312" w:cs="Times New Roman"/>
          <w:color w:val="auto"/>
          <w:kern w:val="0"/>
          <w:sz w:val="32"/>
          <w:szCs w:val="32"/>
          <w:highlight w:val="none"/>
        </w:rPr>
        <w:t>以及相关标准落实情况。</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6.</w:t>
      </w:r>
      <w:r>
        <w:rPr>
          <w:rFonts w:hint="default" w:ascii="Times New Roman" w:hAnsi="Times New Roman" w:eastAsia="仿宋_GB2312" w:cs="Times New Roman"/>
          <w:color w:val="auto"/>
          <w:kern w:val="0"/>
          <w:sz w:val="32"/>
          <w:szCs w:val="32"/>
          <w:highlight w:val="none"/>
        </w:rPr>
        <w:t>环境排放情况。主要描述大气污染物、水体污染物、固体</w:t>
      </w:r>
      <w:r>
        <w:rPr>
          <w:rFonts w:hint="default" w:ascii="Times New Roman" w:hAnsi="Times New Roman" w:eastAsia="仿宋_GB2312" w:cs="Times New Roman"/>
          <w:color w:val="auto"/>
          <w:kern w:val="0"/>
          <w:sz w:val="32"/>
          <w:szCs w:val="32"/>
          <w:highlight w:val="none"/>
          <w:lang w:eastAsia="zh-CN"/>
        </w:rPr>
        <w:t>废弃</w:t>
      </w:r>
      <w:r>
        <w:rPr>
          <w:rFonts w:hint="default" w:ascii="Times New Roman" w:hAnsi="Times New Roman" w:eastAsia="仿宋_GB2312" w:cs="Times New Roman"/>
          <w:color w:val="auto"/>
          <w:kern w:val="0"/>
          <w:sz w:val="32"/>
          <w:szCs w:val="32"/>
          <w:highlight w:val="none"/>
        </w:rPr>
        <w:t>物、噪声、温室气体的排放及管理现状，</w:t>
      </w:r>
      <w:r>
        <w:rPr>
          <w:rFonts w:hint="default" w:ascii="Times New Roman" w:hAnsi="Times New Roman" w:eastAsia="仿宋_GB2312" w:cs="Times New Roman"/>
          <w:color w:val="auto"/>
          <w:kern w:val="0"/>
          <w:sz w:val="32"/>
          <w:szCs w:val="32"/>
          <w:highlight w:val="none"/>
          <w:lang w:val="en-US" w:eastAsia="zh-CN"/>
        </w:rPr>
        <w:t>已采用的污染物减排技术说明、实施情况和现场照片，</w:t>
      </w:r>
      <w:r>
        <w:rPr>
          <w:rFonts w:hint="default" w:ascii="Times New Roman" w:hAnsi="Times New Roman" w:eastAsia="仿宋_GB2312" w:cs="Times New Roman"/>
          <w:color w:val="auto"/>
          <w:kern w:val="0"/>
          <w:sz w:val="32"/>
          <w:szCs w:val="32"/>
          <w:highlight w:val="none"/>
        </w:rPr>
        <w:t>以及相关标准的落实情况。</w:t>
      </w:r>
    </w:p>
    <w:p>
      <w:pPr>
        <w:bidi w:val="0"/>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rPr>
        <w:t>7.绩效指标情况。主要描述绩效指标的现状，提供具体测算过程，</w:t>
      </w:r>
      <w:r>
        <w:rPr>
          <w:rFonts w:hint="default" w:ascii="Times New Roman" w:hAnsi="Times New Roman" w:eastAsia="仿宋_GB2312" w:cs="Times New Roman"/>
          <w:color w:val="auto"/>
          <w:kern w:val="0"/>
          <w:sz w:val="32"/>
          <w:szCs w:val="32"/>
          <w:highlight w:val="none"/>
        </w:rPr>
        <w:t>包括使用的标准、计算边界、</w:t>
      </w:r>
      <w:r>
        <w:rPr>
          <w:rFonts w:hint="default" w:ascii="Times New Roman" w:hAnsi="Times New Roman" w:eastAsia="仿宋_GB2312" w:cs="Times New Roman"/>
          <w:color w:val="auto"/>
          <w:kern w:val="0"/>
          <w:sz w:val="32"/>
          <w:szCs w:val="32"/>
          <w:highlight w:val="none"/>
          <w:lang w:val="en-US" w:eastAsia="zh-CN"/>
        </w:rPr>
        <w:t>使用的参数来源</w:t>
      </w:r>
      <w:r>
        <w:rPr>
          <w:rFonts w:hint="default" w:ascii="Times New Roman" w:hAnsi="Times New Roman" w:eastAsia="仿宋_GB2312" w:cs="Times New Roman"/>
          <w:color w:val="auto"/>
          <w:kern w:val="0"/>
          <w:sz w:val="32"/>
          <w:szCs w:val="32"/>
          <w:highlight w:val="none"/>
        </w:rPr>
        <w:t>等</w:t>
      </w:r>
      <w:r>
        <w:rPr>
          <w:rFonts w:hint="default" w:ascii="Times New Roman" w:hAnsi="Times New Roman" w:eastAsia="仿宋_GB2312" w:cs="Times New Roman"/>
          <w:color w:val="auto"/>
          <w:kern w:val="0"/>
          <w:sz w:val="32"/>
          <w:szCs w:val="32"/>
          <w:highlight w:val="none"/>
          <w:lang w:eastAsia="zh-CN"/>
        </w:rPr>
        <w:t>。</w:t>
      </w:r>
    </w:p>
    <w:p>
      <w:pPr>
        <w:snapToGrid w:val="0"/>
        <w:spacing w:line="360" w:lineRule="auto"/>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三、下一步工作</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说明工厂未来发展目标，持续推进绿色工厂建设方面拟开展的重点工作，拟实施的重大项目情况等。</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1.绿色工厂未来目标。主要描述各项绩效指标在两年后（202</w:t>
      </w:r>
      <w:r>
        <w:rPr>
          <w:rFonts w:hint="eastAsia" w:ascii="Times New Roman" w:hAnsi="Times New Roman" w:eastAsia="仿宋_GB2312" w:cs="Times New Roman"/>
          <w:color w:val="auto"/>
          <w:kern w:val="0"/>
          <w:sz w:val="32"/>
          <w:szCs w:val="32"/>
          <w:highlight w:val="none"/>
          <w:lang w:val="en-US" w:eastAsia="zh-CN"/>
        </w:rPr>
        <w:t>6</w:t>
      </w:r>
      <w:r>
        <w:rPr>
          <w:rFonts w:hint="default" w:ascii="Times New Roman" w:hAnsi="Times New Roman" w:eastAsia="仿宋_GB2312" w:cs="Times New Roman"/>
          <w:color w:val="auto"/>
          <w:kern w:val="0"/>
          <w:sz w:val="32"/>
          <w:szCs w:val="32"/>
          <w:highlight w:val="none"/>
          <w:lang w:val="en-US" w:eastAsia="zh-CN"/>
        </w:rPr>
        <w:t>年)的预期目标。</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2.绿色工厂创建重点工作。主要描述工厂在近三年为持续提升绿色工厂水平开展的重点工作任务情况。</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3.减碳工作。主要描述工厂在减少碳排放方面的工作计划和减排目标。例如，建立碳排放管理体系，建立健全碳排放核算计量体系，制定专项降碳工作方案，碳减排技术应用，参与碳排放标准制定等。</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4.重点项目情况。填写近几年工厂拟建设的绿色低碳升级改造重点项目汇总表，测算项目节能、节水、节材、减排、降碳和资源综合利用绩效。</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p>
    <w:p>
      <w:pPr>
        <w:pStyle w:val="6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3" w:firstLineChars="200"/>
        <w:jc w:val="center"/>
        <w:textAlignment w:val="auto"/>
        <w:outlineLvl w:val="9"/>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b/>
          <w:bCs/>
          <w:color w:val="auto"/>
          <w:kern w:val="0"/>
          <w:sz w:val="32"/>
          <w:szCs w:val="32"/>
          <w:highlight w:val="none"/>
          <w:lang w:val="en-US" w:eastAsia="zh-CN"/>
        </w:rPr>
        <w:t>表xx 绿色低碳升级改造重点项目汇总表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579"/>
        <w:gridCol w:w="1828"/>
        <w:gridCol w:w="1419"/>
        <w:gridCol w:w="141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eastAsia="仿宋_GB2312" w:cs="Times New Roman"/>
                <w:color w:val="auto"/>
                <w:sz w:val="28"/>
                <w:szCs w:val="28"/>
                <w:highlight w:val="none"/>
                <w:vertAlign w:val="baseline"/>
                <w:lang w:val="en-US" w:eastAsia="zh-CN"/>
              </w:rPr>
              <w:t>序号</w:t>
            </w: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eastAsia="仿宋_GB2312" w:cs="Times New Roman"/>
                <w:color w:val="auto"/>
                <w:sz w:val="28"/>
                <w:szCs w:val="28"/>
                <w:highlight w:val="none"/>
                <w:vertAlign w:val="baseline"/>
                <w:lang w:val="en-US" w:eastAsia="zh-CN"/>
              </w:rPr>
              <w:t>项目名称</w:t>
            </w:r>
          </w:p>
        </w:tc>
        <w:tc>
          <w:tcPr>
            <w:tcW w:w="193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eastAsia="仿宋_GB2312" w:cs="Times New Roman"/>
                <w:color w:val="auto"/>
                <w:sz w:val="28"/>
                <w:szCs w:val="28"/>
                <w:highlight w:val="none"/>
                <w:vertAlign w:val="baseline"/>
                <w:lang w:val="en-US" w:eastAsia="zh-CN"/>
              </w:rPr>
              <w:t>项目内容</w:t>
            </w: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eastAsia="仿宋_GB2312" w:cs="Times New Roman"/>
                <w:color w:val="auto"/>
                <w:sz w:val="28"/>
                <w:szCs w:val="28"/>
                <w:highlight w:val="none"/>
                <w:vertAlign w:val="baseline"/>
                <w:lang w:val="en-US" w:eastAsia="zh-CN"/>
              </w:rPr>
              <w:t>项目建设期限</w:t>
            </w: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eastAsia="仿宋_GB2312" w:cs="Times New Roman"/>
                <w:color w:val="auto"/>
                <w:sz w:val="28"/>
                <w:szCs w:val="28"/>
                <w:highlight w:val="none"/>
                <w:vertAlign w:val="baseline"/>
                <w:lang w:val="en-US" w:eastAsia="zh-CN"/>
              </w:rPr>
              <w:t>项目投资估算</w:t>
            </w: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r>
              <w:rPr>
                <w:rFonts w:hint="default" w:ascii="Times New Roman" w:hAnsi="Times New Roman" w:eastAsia="仿宋_GB2312" w:cs="Times New Roman"/>
                <w:color w:val="auto"/>
                <w:sz w:val="28"/>
                <w:szCs w:val="28"/>
                <w:highlight w:val="none"/>
                <w:vertAlign w:val="baseline"/>
                <w:lang w:val="en-US" w:eastAsia="zh-CN"/>
              </w:rPr>
              <w:t>项目效益分析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93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93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93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r>
    </w:tbl>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p>
    <w:p>
      <w:pPr>
        <w:snapToGrid w:val="0"/>
        <w:spacing w:line="360" w:lineRule="auto"/>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四、绿色工厂创建</w:t>
      </w:r>
      <w:r>
        <w:rPr>
          <w:rFonts w:hint="default" w:ascii="Times New Roman" w:hAnsi="Times New Roman" w:eastAsia="黑体" w:cs="Times New Roman"/>
          <w:bCs/>
          <w:color w:val="auto"/>
          <w:sz w:val="32"/>
          <w:szCs w:val="32"/>
          <w:highlight w:val="none"/>
          <w:lang w:val="en-US" w:eastAsia="zh-CN"/>
        </w:rPr>
        <w:t>评价</w:t>
      </w:r>
      <w:r>
        <w:rPr>
          <w:rFonts w:hint="default" w:ascii="Times New Roman" w:hAnsi="Times New Roman" w:eastAsia="黑体" w:cs="Times New Roman"/>
          <w:bCs/>
          <w:color w:val="auto"/>
          <w:sz w:val="32"/>
          <w:szCs w:val="32"/>
          <w:highlight w:val="none"/>
        </w:rPr>
        <w:t>表</w:t>
      </w:r>
    </w:p>
    <w:p>
      <w:pPr>
        <w:pStyle w:val="67"/>
        <w:widowControl/>
        <w:snapToGrid w:val="0"/>
        <w:ind w:firstLine="64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依据工厂情况进行评</w:t>
      </w:r>
      <w:r>
        <w:rPr>
          <w:rFonts w:hint="default" w:ascii="Times New Roman" w:hAnsi="Times New Roman" w:eastAsia="仿宋_GB2312" w:cs="Times New Roman"/>
          <w:color w:val="auto"/>
          <w:kern w:val="0"/>
          <w:sz w:val="32"/>
          <w:szCs w:val="32"/>
          <w:highlight w:val="none"/>
          <w:lang w:val="en-US" w:eastAsia="zh-CN"/>
        </w:rPr>
        <w:t>价</w:t>
      </w:r>
      <w:r>
        <w:rPr>
          <w:rFonts w:hint="default" w:ascii="Times New Roman" w:hAnsi="Times New Roman" w:eastAsia="仿宋_GB2312" w:cs="Times New Roman"/>
          <w:color w:val="auto"/>
          <w:kern w:val="0"/>
          <w:sz w:val="32"/>
          <w:szCs w:val="32"/>
          <w:highlight w:val="none"/>
        </w:rPr>
        <w:t>，并填写附表1和附表2。</w:t>
      </w:r>
    </w:p>
    <w:p>
      <w:pPr>
        <w:snapToGrid w:val="0"/>
        <w:spacing w:line="360" w:lineRule="auto"/>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五、相关证明材料</w:t>
      </w:r>
    </w:p>
    <w:p>
      <w:p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包括但不限于以下材料：</w:t>
      </w:r>
    </w:p>
    <w:p>
      <w:pPr>
        <w:numPr>
          <w:ilvl w:val="0"/>
          <w:numId w:val="3"/>
        </w:num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企业营业执照；</w:t>
      </w:r>
    </w:p>
    <w:p>
      <w:pPr>
        <w:numPr>
          <w:ilvl w:val="0"/>
          <w:numId w:val="3"/>
        </w:num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企业生产许可证（适用时）；</w:t>
      </w:r>
    </w:p>
    <w:p>
      <w:pPr>
        <w:numPr>
          <w:ilvl w:val="0"/>
          <w:numId w:val="3"/>
        </w:numPr>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CCC产品认证证书（适用时）；</w:t>
      </w:r>
    </w:p>
    <w:p>
      <w:pPr>
        <w:numPr>
          <w:ilvl w:val="0"/>
          <w:numId w:val="3"/>
        </w:num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工厂建设批复文件</w:t>
      </w:r>
      <w:r>
        <w:rPr>
          <w:rFonts w:hint="default" w:ascii="Times New Roman" w:hAnsi="Times New Roman" w:eastAsia="仿宋_GB2312" w:cs="Times New Roman"/>
          <w:color w:val="auto"/>
          <w:sz w:val="32"/>
          <w:highlight w:val="none"/>
          <w:lang w:eastAsia="zh-CN"/>
        </w:rPr>
        <w:t>；</w:t>
      </w:r>
    </w:p>
    <w:p>
      <w:pPr>
        <w:numPr>
          <w:ilvl w:val="0"/>
          <w:numId w:val="3"/>
        </w:num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三同时验收文件；</w:t>
      </w:r>
    </w:p>
    <w:p>
      <w:pPr>
        <w:numPr>
          <w:ilvl w:val="0"/>
          <w:numId w:val="3"/>
        </w:num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最高管理者承诺书（包括传达与资源）；</w:t>
      </w:r>
    </w:p>
    <w:p>
      <w:pPr>
        <w:numPr>
          <w:ilvl w:val="0"/>
          <w:numId w:val="3"/>
        </w:numPr>
        <w:ind w:firstLine="64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highlight w:val="none"/>
        </w:rPr>
        <w:t>管理者代表授权书（包括4项职责）；</w:t>
      </w:r>
    </w:p>
    <w:p>
      <w:pPr>
        <w:numPr>
          <w:ilvl w:val="0"/>
          <w:numId w:val="3"/>
        </w:numPr>
        <w:ind w:firstLine="64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highlight w:val="none"/>
        </w:rPr>
        <w:t>管理机构的组织及相关制度；</w:t>
      </w:r>
    </w:p>
    <w:p>
      <w:pPr>
        <w:numPr>
          <w:ilvl w:val="0"/>
          <w:numId w:val="3"/>
        </w:num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szCs w:val="24"/>
          <w:highlight w:val="none"/>
        </w:rPr>
        <w:t>文件化的绿色工厂建设的目标、指标、方案；</w:t>
      </w:r>
    </w:p>
    <w:p>
      <w:pPr>
        <w:numPr>
          <w:ilvl w:val="0"/>
          <w:numId w:val="3"/>
        </w:numPr>
        <w:ind w:firstLine="64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rPr>
        <w:t>教育和培训记录;</w:t>
      </w:r>
    </w:p>
    <w:p>
      <w:pPr>
        <w:numPr>
          <w:ilvl w:val="0"/>
          <w:numId w:val="3"/>
        </w:num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相关管理体系认证证书和全国认证认可信息公共服务平台的证书详情截图（截图时间应在申报周期内）；</w:t>
      </w:r>
    </w:p>
    <w:p>
      <w:pPr>
        <w:numPr>
          <w:ilvl w:val="0"/>
          <w:numId w:val="3"/>
        </w:numPr>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厂房平面布置图（包括空间布局图、计量设备布置图，标明危险品仓库、有毒有害操作间、废弃物处理间位置）；</w:t>
      </w:r>
    </w:p>
    <w:p>
      <w:pPr>
        <w:numPr>
          <w:ilvl w:val="0"/>
          <w:numId w:val="3"/>
        </w:numPr>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highlight w:val="none"/>
        </w:rPr>
        <w:t>计量设备清单、用能设备清单、污染物处理设备清单、原材料清单等；</w:t>
      </w:r>
    </w:p>
    <w:p>
      <w:pPr>
        <w:numPr>
          <w:ilvl w:val="0"/>
          <w:numId w:val="3"/>
        </w:numPr>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highlight w:val="none"/>
        </w:rPr>
        <w:t>合格供应商名录及其评价表、采购立项审批文件、程序文件、招投标文件等；</w:t>
      </w:r>
    </w:p>
    <w:p>
      <w:pPr>
        <w:numPr>
          <w:ilvl w:val="0"/>
          <w:numId w:val="3"/>
        </w:numPr>
        <w:ind w:firstLine="640"/>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申报工厂已获得的国家、地方、行业节能环保相关奖励证书等。</w:t>
      </w:r>
    </w:p>
    <w:p>
      <w:pPr>
        <w:numPr>
          <w:ilvl w:val="0"/>
          <w:numId w:val="3"/>
        </w:numPr>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highlight w:val="none"/>
        </w:rPr>
        <w:t>能源消耗量、资源消耗量等绩效指标计算说明（包括使用的标准、计算边界、排放因数、计算过程等）；</w:t>
      </w:r>
    </w:p>
    <w:p>
      <w:pPr>
        <w:numPr>
          <w:ilvl w:val="0"/>
          <w:numId w:val="3"/>
        </w:numPr>
        <w:ind w:firstLine="640"/>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highlight w:val="none"/>
        </w:rPr>
        <w:t>其他必要的证明材料。</w:t>
      </w:r>
    </w:p>
    <w:p>
      <w:pPr>
        <w:snapToGrid w:val="0"/>
        <w:spacing w:line="360" w:lineRule="auto"/>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黑体" w:cs="Times New Roman"/>
          <w:bCs/>
          <w:color w:val="auto"/>
          <w:sz w:val="32"/>
          <w:szCs w:val="32"/>
          <w:highlight w:val="none"/>
          <w:lang w:val="en-US" w:eastAsia="zh-CN"/>
        </w:rPr>
        <w:t>六</w:t>
      </w:r>
      <w:r>
        <w:rPr>
          <w:rFonts w:hint="default" w:ascii="Times New Roman" w:hAnsi="Times New Roman" w:eastAsia="黑体" w:cs="Times New Roman"/>
          <w:bCs/>
          <w:color w:val="auto"/>
          <w:sz w:val="32"/>
          <w:szCs w:val="32"/>
          <w:highlight w:val="none"/>
        </w:rPr>
        <w:t>、</w:t>
      </w:r>
      <w:r>
        <w:rPr>
          <w:rFonts w:hint="default" w:ascii="Times New Roman" w:hAnsi="Times New Roman" w:eastAsia="黑体" w:cs="Times New Roman"/>
          <w:bCs/>
          <w:color w:val="auto"/>
          <w:sz w:val="32"/>
          <w:szCs w:val="32"/>
          <w:highlight w:val="none"/>
          <w:lang w:val="en-US" w:eastAsia="zh-CN"/>
        </w:rPr>
        <w:t>评价依据</w:t>
      </w:r>
    </w:p>
    <w:p>
      <w:pPr>
        <w:pStyle w:val="47"/>
        <w:rPr>
          <w:rFonts w:hint="default" w:ascii="Times New Roman" w:hAnsi="Times New Roman" w:eastAsia="仿宋_GB2312" w:cs="Times New Roman"/>
          <w:color w:val="auto"/>
          <w:sz w:val="32"/>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cs="Times New Roman"/>
          <w:color w:val="auto"/>
          <w:sz w:val="32"/>
          <w:highlight w:val="none"/>
          <w:lang w:val="en-US" w:eastAsia="zh-CN"/>
        </w:rPr>
        <w:t>附评价依据</w:t>
      </w:r>
      <w:r>
        <w:rPr>
          <w:rFonts w:hint="default" w:ascii="Times New Roman" w:hAnsi="Times New Roman" w:eastAsia="仿宋_GB2312" w:cs="Times New Roman"/>
          <w:color w:val="auto"/>
          <w:sz w:val="32"/>
          <w:highlight w:val="none"/>
          <w:lang w:val="en-US" w:eastAsia="zh-CN"/>
        </w:rPr>
        <w:t>（评价参考的具体标准）</w:t>
      </w:r>
      <w:r>
        <w:rPr>
          <w:rFonts w:hint="default" w:ascii="Times New Roman" w:hAnsi="Times New Roman" w:cs="Times New Roman"/>
          <w:color w:val="auto"/>
          <w:sz w:val="32"/>
          <w:highlight w:val="none"/>
          <w:lang w:val="en-US" w:eastAsia="zh-CN"/>
        </w:rPr>
        <w:t>全文。</w:t>
      </w:r>
    </w:p>
    <w:p>
      <w:pPr>
        <w:pStyle w:val="8"/>
        <w:bidi w:val="0"/>
        <w:jc w:val="center"/>
        <w:rPr>
          <w:rFonts w:hint="default" w:ascii="Times New Roman" w:hAnsi="Times New Roman" w:cs="Times New Roman"/>
          <w:color w:val="auto"/>
          <w:sz w:val="28"/>
          <w:szCs w:val="24"/>
          <w:highlight w:val="none"/>
        </w:rPr>
      </w:pPr>
      <w:bookmarkStart w:id="45" w:name="_Toc11493"/>
      <w:bookmarkStart w:id="46" w:name="_Toc524424242"/>
      <w:bookmarkStart w:id="47" w:name="_Toc25391"/>
      <w:bookmarkStart w:id="48" w:name="_Toc4595435"/>
      <w:r>
        <w:rPr>
          <w:rFonts w:hint="default" w:ascii="Times New Roman" w:hAnsi="Times New Roman" w:cs="Times New Roman"/>
          <w:color w:val="auto"/>
          <w:sz w:val="28"/>
          <w:szCs w:val="24"/>
          <w:highlight w:val="none"/>
        </w:rPr>
        <w:t>附表1 绿色工厂基本要求</w:t>
      </w:r>
      <w:r>
        <w:rPr>
          <w:rFonts w:hint="default" w:ascii="Times New Roman" w:hAnsi="Times New Roman" w:cs="Times New Roman"/>
          <w:color w:val="auto"/>
          <w:sz w:val="28"/>
          <w:szCs w:val="24"/>
          <w:highlight w:val="none"/>
          <w:lang w:val="en-US" w:eastAsia="zh-CN"/>
        </w:rPr>
        <w:t>评价</w:t>
      </w:r>
      <w:r>
        <w:rPr>
          <w:rFonts w:hint="default" w:ascii="Times New Roman" w:hAnsi="Times New Roman" w:cs="Times New Roman"/>
          <w:color w:val="auto"/>
          <w:sz w:val="28"/>
          <w:szCs w:val="24"/>
          <w:highlight w:val="none"/>
        </w:rPr>
        <w:t>表</w:t>
      </w:r>
      <w:bookmarkEnd w:id="45"/>
      <w:bookmarkEnd w:id="46"/>
      <w:bookmarkEnd w:id="47"/>
      <w:bookmarkEnd w:id="48"/>
    </w:p>
    <w:p>
      <w:pPr>
        <w:jc w:val="center"/>
        <w:rPr>
          <w:rFonts w:hint="default" w:ascii="Times New Roman" w:hAnsi="Times New Roman" w:eastAsia="仿宋_GB2312" w:cs="Times New Roman"/>
          <w:b/>
          <w:color w:val="auto"/>
          <w:kern w:val="2"/>
          <w:sz w:val="28"/>
          <w:szCs w:val="22"/>
          <w:highlight w:val="none"/>
          <w:lang w:val="en-US" w:eastAsia="zh-CN" w:bidi="ar-SA"/>
        </w:rPr>
      </w:pPr>
      <w:r>
        <w:rPr>
          <w:rFonts w:hint="default" w:ascii="Times New Roman" w:hAnsi="Times New Roman" w:eastAsia="仿宋_GB2312" w:cs="Times New Roman"/>
          <w:b/>
          <w:color w:val="auto"/>
          <w:kern w:val="2"/>
          <w:sz w:val="28"/>
          <w:szCs w:val="22"/>
          <w:highlight w:val="none"/>
          <w:lang w:val="en-US" w:eastAsia="zh-CN" w:bidi="ar-SA"/>
        </w:rPr>
        <w:t>（20  年）</w:t>
      </w:r>
    </w:p>
    <w:tbl>
      <w:tblPr>
        <w:tblStyle w:val="37"/>
        <w:tblW w:w="4999" w:type="pct"/>
        <w:tblInd w:w="0" w:type="dxa"/>
        <w:shd w:val="clear" w:color="auto" w:fill="auto"/>
        <w:tblLayout w:type="autofit"/>
        <w:tblCellMar>
          <w:top w:w="0" w:type="dxa"/>
          <w:left w:w="108" w:type="dxa"/>
          <w:bottom w:w="0" w:type="dxa"/>
          <w:right w:w="108" w:type="dxa"/>
        </w:tblCellMar>
      </w:tblPr>
      <w:tblGrid>
        <w:gridCol w:w="1041"/>
        <w:gridCol w:w="4172"/>
        <w:gridCol w:w="962"/>
        <w:gridCol w:w="2339"/>
      </w:tblGrid>
      <w:tr>
        <w:tblPrEx>
          <w:tblCellMar>
            <w:top w:w="0" w:type="dxa"/>
            <w:left w:w="108" w:type="dxa"/>
            <w:bottom w:w="0" w:type="dxa"/>
            <w:right w:w="108" w:type="dxa"/>
          </w:tblCellMar>
        </w:tblPrEx>
        <w:trPr>
          <w:trHeight w:val="285" w:hRule="atLeast"/>
        </w:trPr>
        <w:tc>
          <w:tcPr>
            <w:tcW w:w="30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基本要求</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是否符合</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符合性说明及证明材料索引</w:t>
            </w:r>
          </w:p>
        </w:tc>
      </w:tr>
      <w:tr>
        <w:tblPrEx>
          <w:shd w:val="clear" w:color="auto" w:fill="auto"/>
          <w:tblCellMar>
            <w:top w:w="0" w:type="dxa"/>
            <w:left w:w="108" w:type="dxa"/>
            <w:bottom w:w="0" w:type="dxa"/>
            <w:right w:w="108" w:type="dxa"/>
          </w:tblCellMar>
        </w:tblPrEx>
        <w:trPr>
          <w:trHeight w:val="570" w:hRule="atLeast"/>
        </w:trPr>
        <w:tc>
          <w:tcPr>
            <w:tcW w:w="6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基础合规性与相关方要求</w:t>
            </w:r>
          </w:p>
        </w:tc>
        <w:tc>
          <w:tcPr>
            <w:tcW w:w="2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绿色工厂应依法设立，在建设和生产过程中应遵守有关法律、法规、政策和标准。</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6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2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近三年（含成立不足三年）无较大及以上安全、环保、质量等事故。</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6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2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对利益相关方的环境要求做出承诺的，应同时满足有关承诺的要求。</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6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基础管理职责——最高管理者</w:t>
            </w:r>
          </w:p>
        </w:tc>
        <w:tc>
          <w:tcPr>
            <w:tcW w:w="2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最高管理者在绿色工厂方面的领导作用和承诺满足GB/T 36132 中4.3.1 a)的要求。</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6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2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最高管理者确保在工厂内部分配并沟通与绿色工厂相关角色的职责和权限，且满足GB/T 36132 中4.3.1 b)的要求。</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6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基础管理职责——工厂</w:t>
            </w:r>
          </w:p>
        </w:tc>
        <w:tc>
          <w:tcPr>
            <w:tcW w:w="2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应设有绿色工厂管理机构，负责有关绿色工厂的制度建设、实施、考核及奖励工作，建立目标责任制。</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6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2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应有开展绿色工厂的中长期规划及年度目标、指标和实施方案。可行时，指标应明确且可量化。</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6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2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应传播绿色制造的概念和知识，定期为员工提供绿色制造相关知识的教育、培训，并对教育和培训的结果进行考评。</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bl>
    <w:p>
      <w:pPr>
        <w:pStyle w:val="47"/>
        <w:ind w:left="0" w:leftChars="0" w:firstLine="0" w:firstLineChars="0"/>
        <w:rPr>
          <w:rFonts w:hint="default" w:ascii="Times New Roman" w:hAnsi="Times New Roman" w:eastAsia="仿宋_GB2312" w:cs="Times New Roman"/>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8"/>
        <w:bidi w:val="0"/>
        <w:jc w:val="center"/>
        <w:rPr>
          <w:rFonts w:hint="default" w:ascii="Times New Roman" w:hAnsi="Times New Roman" w:cs="Times New Roman"/>
          <w:color w:val="auto"/>
          <w:sz w:val="28"/>
          <w:szCs w:val="24"/>
          <w:highlight w:val="none"/>
        </w:rPr>
      </w:pPr>
      <w:bookmarkStart w:id="49" w:name="_Toc6128"/>
      <w:bookmarkStart w:id="50" w:name="_Toc3330"/>
      <w:bookmarkStart w:id="51" w:name="_Toc524424243"/>
      <w:bookmarkStart w:id="52" w:name="_Toc23860"/>
      <w:bookmarkStart w:id="53" w:name="_Toc4595436"/>
      <w:bookmarkStart w:id="54" w:name="_Toc29407"/>
      <w:bookmarkStart w:id="55" w:name="_Toc30878"/>
      <w:r>
        <w:rPr>
          <w:rFonts w:hint="default" w:ascii="Times New Roman" w:hAnsi="Times New Roman" w:cs="Times New Roman"/>
          <w:color w:val="auto"/>
          <w:sz w:val="28"/>
          <w:szCs w:val="24"/>
          <w:highlight w:val="none"/>
        </w:rPr>
        <w:t>附表2 绿色工厂评价指标评价表</w:t>
      </w:r>
      <w:bookmarkEnd w:id="49"/>
      <w:bookmarkEnd w:id="50"/>
      <w:bookmarkEnd w:id="51"/>
      <w:bookmarkEnd w:id="52"/>
      <w:bookmarkEnd w:id="53"/>
      <w:bookmarkEnd w:id="54"/>
      <w:bookmarkEnd w:id="55"/>
    </w:p>
    <w:p>
      <w:pPr>
        <w:ind w:firstLine="643"/>
        <w:jc w:val="center"/>
        <w:rPr>
          <w:rFonts w:hint="default" w:ascii="Times New Roman" w:hAnsi="Times New Roman" w:eastAsia="仿宋_GB2312" w:cs="Times New Roman"/>
          <w:b/>
          <w:color w:val="auto"/>
          <w:sz w:val="28"/>
          <w:szCs w:val="28"/>
          <w:highlight w:val="none"/>
        </w:rPr>
      </w:pPr>
      <w:r>
        <w:rPr>
          <w:rFonts w:hint="default" w:ascii="Times New Roman" w:hAnsi="Times New Roman" w:eastAsia="仿宋_GB2312" w:cs="Times New Roman"/>
          <w:b/>
          <w:color w:val="auto"/>
          <w:sz w:val="28"/>
          <w:szCs w:val="28"/>
          <w:highlight w:val="none"/>
        </w:rPr>
        <w:t>（20  年）</w:t>
      </w:r>
    </w:p>
    <w:tbl>
      <w:tblPr>
        <w:tblStyle w:val="37"/>
        <w:tblW w:w="5039" w:type="pct"/>
        <w:tblInd w:w="0" w:type="dxa"/>
        <w:shd w:val="clear" w:color="auto" w:fill="auto"/>
        <w:tblLayout w:type="fixed"/>
        <w:tblCellMar>
          <w:top w:w="0" w:type="dxa"/>
          <w:left w:w="108" w:type="dxa"/>
          <w:bottom w:w="0" w:type="dxa"/>
          <w:right w:w="108" w:type="dxa"/>
        </w:tblCellMar>
      </w:tblPr>
      <w:tblGrid>
        <w:gridCol w:w="306"/>
        <w:gridCol w:w="829"/>
        <w:gridCol w:w="844"/>
        <w:gridCol w:w="6767"/>
        <w:gridCol w:w="3139"/>
        <w:gridCol w:w="930"/>
        <w:gridCol w:w="503"/>
        <w:gridCol w:w="490"/>
        <w:gridCol w:w="477"/>
      </w:tblGrid>
      <w:tr>
        <w:tblPrEx>
          <w:tblCellMar>
            <w:top w:w="0" w:type="dxa"/>
            <w:left w:w="108" w:type="dxa"/>
            <w:bottom w:w="0" w:type="dxa"/>
            <w:right w:w="108" w:type="dxa"/>
          </w:tblCellMar>
        </w:tblPrEx>
        <w:trPr>
          <w:trHeight w:val="573" w:hRule="atLeast"/>
          <w:tblHeader/>
        </w:trPr>
        <w:tc>
          <w:tcPr>
            <w:tcW w:w="1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序号</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一级指标</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二级指标</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具体评价要求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符合性说明及证明材料索引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要求类型</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分值</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权重</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得分</w:t>
            </w:r>
          </w:p>
        </w:tc>
      </w:tr>
      <w:tr>
        <w:tblPrEx>
          <w:shd w:val="clear" w:color="auto" w:fill="auto"/>
          <w:tblCellMar>
            <w:top w:w="0" w:type="dxa"/>
            <w:left w:w="108" w:type="dxa"/>
            <w:bottom w:w="0" w:type="dxa"/>
            <w:right w:w="108" w:type="dxa"/>
          </w:tblCellMar>
        </w:tblPrEx>
        <w:trPr>
          <w:trHeight w:val="570" w:hRule="atLeast"/>
        </w:trPr>
        <w:tc>
          <w:tcPr>
            <w:tcW w:w="1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w:t>
            </w: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基础设施</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建筑</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工厂的建筑应满足国家或地方相关法律法规及标准的要求。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8</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新建、改建和扩建建筑时，应遵守国家“固定资产投资项目节能评估审查制度”、“三同时制度”、“工业项目建设用地控制指标”等产业政策和有关要求。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厂房内部装饰装修材料中醛、苯、氨、氡等有害物质应符合国家和地方法律、标准要求。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危险品仓库、有毒有害操作间、废弃物处理间等产生污染物的房间应独立设置。</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142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建筑材料：（1）选用蕴能低、高性能、高耐久性和本地建材，减少建材在全生命周期中的能源消耗；（2）室内装饰装修材料满足国家标准GB 18580～18588和《建筑材料放射性核素限量》GB 6566的要求。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建筑结构：采用钢结构、砌体结构和木结构等资源消耗和环境影响小的建筑结构体系。</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42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绿化及场地：（1）场地内设置可遮荫避雨的步行连廊。（2）厂区绿化适宜，优先种植乡土植物，采用少维护、耐候性强的植物，减少日常维护的费用。（3）室外透水地面面积占室外总面积的比例不小于30%。</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再生资源及能源利用：（1）可再生能源的使用占建筑总能耗的比例大于10%；（2）采用节水器具和设备，节水率不低于10%。</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适用时，工厂的厂房采用多层建筑。</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照明</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人工照明应符合GB 50034规定。</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7</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不同场所的照明应进行分级设计。</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工厂厂区及各房间或场所的照明尽量利用自然光。</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工艺适用时，节能灯等节能型照明设备的使用占比不低于50%。</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公共场所的照明采取分区、分组与定时自动调光等措施。</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设备设施</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工厂使用的专用设备应符合产业准入要求，降低能源与资源消耗，减少污染物排放。</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适用时，工厂使用的通用设备应达到相关标准中能效限定值的强制性要求。已明令禁止生产、使用的和能耗高、效率低的设备应限期淘汰更新。</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工厂使用的通用设备或其系统的实际运行效率或主要运行参数应符合该设备经济运行的要求。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工厂应依据GB 17167、GB24789等要求配备、使用和管理能源、水以及其他资源的计量器具和装置。</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71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及资源使用的类型不同时，应进行分类计量。工厂若具有以下设备，需满足分类计量的要求：（1）照明系统；（2）冷水机组、相关用能设备的能耗计量和控制；（3）室内用水、室外用水；（4）空气处理设备的流量和压力计量；（5）锅炉；（6）冷却塔。</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142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必要时，工厂应投入适宜的污染物处理设备，以确保其污染物排放达到相关法律法规及标准要求。污染物处理设备的处理能力应与工厂生产排放相适应，设备应满足通用设备的节能方面的要求。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工厂使用的通用用能设备采用了节能型产品或效率高、能耗低、水耗低、物耗低的产品。</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8</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管理体系</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一般要求</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工厂建立、实施并保持满足GB/T 19001的要求的质量管理体系。</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15%</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通过质量管理体系第三方认证。</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8</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工厂建立、实施并保持满足 GB/T 45001（代替GB/T 28001）要求的职业健康安全管理体系。</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通过职业健康安全管理体系第三方认证。</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8</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环境管理体系</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工厂建立、实施并保持满足GB/T 24001要求的环境管理体系。</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通过环境管理体系第三方认证。</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能源管理体系</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工厂建立、实施并保持满足GB/T 23331要求的能源管理体系。</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通过能源管理体系第三方认证。</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社会责任</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每年发布社会责任报告，说明履行利益相关方责任的情况，特别是环境社会责任的履行情况，报告公开可获得。</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能源资源投入</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能源投入</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工厂应优化用能结构，在保证安全、质量的前提下减少不可再生能源投入。</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15%</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建有能源管理中心。</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8</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建有厂区光伏电站、智能微电网。</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使用了低碳清洁的新能源。</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使用可再生能源代替不可再生能源。</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充分利用余热余压。</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资源投入</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工厂应按照GB/T 7119的要求对其开展节水评价工作，且满足GB/T 18916（所有部分）中对应本行业的取水定额要求。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工厂应减少材料、尤其是有害物质的使用，评估有害物质及化学品减量使用或替代的可行性。</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工厂应按照GB/T 29115的要求对其原材料使用量的减少进行评价。</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使用回收料、可回收材料替代原生材料、不可回收材料。</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替代或减少全球增温潜势较高温室气体的使用。</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采购</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工厂应制定并实施包括环保要求的选择、评价和重新评价供方的准则。</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工厂应确定并实施检验或其他必要的活动，以确保采购的产品满足规定的采购要求。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工厂向供方提供的采购信息包含有害物质使用、可回收材料使用、能效等环保要求。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满足绿色供应链评价要求。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产品</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生态设计</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工厂在产品设计中引入生态设计的理念。</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30</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24256对生产的产品进行生态设计。</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32161对生产的产品进行生态设计产品评价，满足绿色产品（生态设计产品）评价要求。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有害物质使用</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工厂生产的产品（包括原料和辅料）应减少有害物质的使用，避免有害物质的泄露，满足国家对产品中有害物质限制使用的要求。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实现有害物质替代。</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节能</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工厂生产的产品若为用能产品或在使用过程中对最终产品/构造的能耗有影响的产品，适用时，应满足相关标准的限定值要求。未制定标准的，产品能效应不低于行业平均值。</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必选（适用时）</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达到相关标准中的节能评价值/先进值要求，未制定标准的，产品能效达到行业前20%的水平，前5%为满分。</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可选（适用时）</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减碳</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采用适用的标准或规范对产品进行碳足迹核算或核查。</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利用核算或核查结果对其产品的碳足迹进行改善。核算或核查结果对外公布。</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适用时，产品满足相关低碳产品要求。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可回收利用率</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20862的要求计算其产品的可回收利用率。</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利用计算结果对产品的可回收利用率进行改善。</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5</w:t>
            </w: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环境排放</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大气污染物</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工厂的大气污染物排放应符合相关国家标准、行业标准及地方标准要求，并满足区域内排放总量控制要求。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15</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工厂的主要大气污染物排放满足标准中更高等级的要求。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水体污染物</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工厂的水体污染物排放应符合相关国家标准、行业标准及地方标准要求，或在满足要求的前提下委托具备相应能力和资质的处理厂进行处理，并满足区域内排放总量控制要求。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15</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工厂的主要水体污染物排放满足标准中更高等级的要求。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固体废弃物</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工厂产生的固体废弃物的处理应符合GB 18599及相关标准的要求。工厂无法自行处理的，应将固体废弃物转交给具备相应能力和资质的处理厂进行处理。</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噪声</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工厂的厂界环境噪声排放应符合相关国家标准、行业标准及地方标准要求。</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温室气体</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工厂应采用GB/T 32150或适用的标准或规范对其厂界范围内的温室气体排放进行核算和报告。</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获得温室气体排放量第三方核查声明。</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10</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核查结果对外公布。</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可行时，利用核算或核查结果对其温室气体的排放进行改善。</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绩效</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用地集约化</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36132附录A计算工厂容积率，指标应不低于《工业项目建设用地控制指标》的要求。</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30%</w:t>
            </w: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36132附录A计算工厂容积率，指标达到《工业项目建设用地控制指标》要求的1.2倍及以上，2倍及以上为满分。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36132附录A计算工厂建筑密度，建筑密度不低于30%。</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36132附录A计算工厂建筑密度，建筑密度达到40%。</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42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单位用地面积产能应不低于行业平均水平；或：工厂的单位用地面积产值不低于地方发布的单位用地面积产值的要求；未发布单位用地面积产值的地区，单位用地面积产值应超过本年度所在省市的单位用地面积产值。</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99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工厂的单位用地面积产能指标优于行业前20%，前5%为满分；或：单位用地面积产值达到地方发布的单位用地面积产值的要求的1.2倍及以上，2倍为满分；未发布单位用地面积产值的地区，单位用地面积产值应达到本年度所在省市的单位用地面积产值1.2倍及以上，2倍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原料无害化</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36132附录A识别、统计和计算工厂的绿色物料使用情况。</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36132附录A计算工厂主要物料的绿色物料使用率达30%及以上。</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142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生产洁净化</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36132附录A计算单位产品主要污染物产生量（包括化学需氧量、氨氮、二氧化硫、氮氧化物等），指标应不高于行业平均水平。（装备、电子、电器等离散制造业可采用单位产值或单位工业增加值指标。）</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42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36132附录A计算单位产品主要污染物产生量（包括化学需氧量、氨氮、二氧化硫、氮氧化物等），指标优于行业前20%水平。（装备、电子、电器等离散制造业可采用单位产值或单位工业增加值指标。）前5%为满分。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36132附录A计算单位产品废气产生量，指标应不高于行业平均水平。（装备、电子、电器等离散制造业可采用单位产值或单位工业增加值指标。）</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36132附录A计算单位产品废气产生量，指标优于行业前20%水平。（装备、电子、电器等离散制造业可采用单位产值或单位工业增加值指标。）前5%为满分。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36132附录A计算单位产品废水产生量，指标应不高于行业平均水平。（装备、电子、电器等离散制造业可采用单位产值或单位工业增加值指标。）</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36132附录A计算单位产品废水产生量，指标优于行业前20%水平。（装备、电子、电器等离散制造业可采用单位产值或单位工业增加值指标。）前5%为满分。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废物资源化</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36132附录A计算单位产品主要原材料消耗量，指标应不高于行业平均水平。</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36132附录A计算单位产品主要原材料消耗量，指标优于行业前20%水平，前5%为满分。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36132附录A计算工业固体废物综合利用率，指标应大于65%（根据行业特点，该指标可在±20%之间选取）。</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855" w:hRule="atLeast"/>
        </w:trPr>
        <w:tc>
          <w:tcPr>
            <w:tcW w:w="10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36132附录A计算工业固体废物综合利用率，指标达到73%（根据行业特点，该指标可在±20%之间选取），90%为满分。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570" w:hRule="atLeast"/>
        </w:trPr>
        <w:tc>
          <w:tcPr>
            <w:tcW w:w="107" w:type="pct"/>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36132附录A计算废水处理回用率，指标高于行业平均值。</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tblCellMar>
            <w:top w:w="0" w:type="dxa"/>
            <w:left w:w="108" w:type="dxa"/>
            <w:bottom w:w="0" w:type="dxa"/>
            <w:right w:w="108" w:type="dxa"/>
          </w:tblCellMar>
        </w:tblPrEx>
        <w:trPr>
          <w:trHeight w:val="57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36132附录A计算废水处理回用率，指标优于行业前20%水平，前5%为满分。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425"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能源低碳化</w:t>
            </w: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36132附录A计算单位产品综合能耗，指标应符合相关国家、行业标准中的限额要求。未制定相关标准的，应达到行业平均水平。（装备、电子、电器等离散制造业可采用单位产值或单位工业增加值指标。）</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6</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71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综合能耗，指标达到相关国家、行业标准中的先进值要求。未制定相关标准的，应优于行业前20%水平。（装备、电子、电器等离散制造业可采用单位产值或单位工业增加值指标。）前5%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4</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36132附录A计算单位产品碳排放量，指标应优于行业平均水平。（装备、电子、电器等离散制造业可采用单位产值或单位工业增加值指标。）</w:t>
            </w:r>
          </w:p>
        </w:tc>
        <w:tc>
          <w:tcPr>
            <w:tcW w:w="10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必选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3</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1140" w:hRule="atLeast"/>
        </w:trPr>
        <w:tc>
          <w:tcPr>
            <w:tcW w:w="1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2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按照GB/T 36132附录A计算单位产品碳排放量，指标优于行业前20%水平。（装备、电子、电器等离散制造业可采用单位产值或单位工业增加值指标。）前5%为满分。</w:t>
            </w:r>
          </w:p>
        </w:tc>
        <w:tc>
          <w:tcPr>
            <w:tcW w:w="10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可选</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2</w:t>
            </w: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4"/>
                <w:szCs w:val="24"/>
                <w:highlight w:val="none"/>
                <w:u w:val="none"/>
              </w:rPr>
            </w:pPr>
          </w:p>
        </w:tc>
        <w:tc>
          <w:tcPr>
            <w:tcW w:w="16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483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总分</w:t>
            </w:r>
          </w:p>
        </w:tc>
        <w:tc>
          <w:tcPr>
            <w:tcW w:w="1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仿宋_GB2312" w:cs="Times New Roman"/>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5000" w:type="pct"/>
            <w:gridSpan w:val="9"/>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注：绿色工厂必须满足各项必选要求，可选要求按照受评工厂满足程度在0分到满分中取值。</w:t>
            </w:r>
          </w:p>
        </w:tc>
      </w:tr>
    </w:tbl>
    <w:p>
      <w:pPr>
        <w:bidi w:val="0"/>
        <w:rPr>
          <w:rFonts w:hint="default" w:ascii="Times New Roman" w:hAnsi="Times New Roman" w:cs="Times New Roman"/>
          <w:color w:val="auto"/>
          <w:highlight w:val="none"/>
          <w:lang w:val="en-US" w:eastAsia="zh-CN"/>
        </w:rPr>
      </w:pPr>
    </w:p>
    <w:p>
      <w:pPr>
        <w:pStyle w:val="47"/>
        <w:rPr>
          <w:rFonts w:hint="default" w:ascii="Times New Roman" w:hAnsi="Times New Roman" w:cs="Times New Roman"/>
          <w:color w:val="auto"/>
          <w:highlight w:val="none"/>
          <w:lang w:val="en-US" w:eastAsia="zh-CN"/>
        </w:rPr>
      </w:pPr>
    </w:p>
    <w:p>
      <w:pPr>
        <w:pStyle w:val="47"/>
        <w:rPr>
          <w:rFonts w:hint="default" w:ascii="Times New Roman" w:hAnsi="Times New Roman" w:cs="Times New Roman"/>
          <w:color w:val="auto"/>
          <w:highlight w:val="none"/>
          <w:lang w:val="en-US" w:eastAsia="zh-CN"/>
        </w:rPr>
      </w:pPr>
    </w:p>
    <w:p>
      <w:pPr>
        <w:spacing w:line="360" w:lineRule="auto"/>
        <w:rPr>
          <w:rFonts w:hint="default" w:ascii="Times New Roman" w:hAnsi="Times New Roman" w:cs="Times New Roman"/>
          <w:color w:val="auto"/>
          <w:sz w:val="28"/>
          <w:highlight w:val="none"/>
        </w:rPr>
        <w:sectPr>
          <w:headerReference r:id="rId8"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4"/>
        <w:bidi w:val="0"/>
        <w:outlineLvl w:val="0"/>
        <w:rPr>
          <w:rFonts w:hint="default" w:ascii="Times New Roman" w:hAnsi="Times New Roman" w:eastAsia="黑体" w:cs="Times New Roman"/>
          <w:b w:val="0"/>
          <w:bCs w:val="0"/>
          <w:color w:val="auto"/>
          <w:highlight w:val="none"/>
          <w:lang w:val="en-US" w:eastAsia="zh-CN"/>
        </w:rPr>
      </w:pPr>
      <w:bookmarkStart w:id="56" w:name="_Toc12423"/>
      <w:bookmarkStart w:id="57" w:name="_Toc23484"/>
      <w:r>
        <w:rPr>
          <w:rFonts w:hint="default" w:ascii="Times New Roman" w:hAnsi="Times New Roman" w:eastAsia="黑体" w:cs="Times New Roman"/>
          <w:b w:val="0"/>
          <w:bCs w:val="0"/>
          <w:color w:val="auto"/>
          <w:highlight w:val="none"/>
          <w:lang w:val="en-US" w:eastAsia="zh-CN"/>
        </w:rPr>
        <w:t>附件2 绿色工业园区评价报告格式</w:t>
      </w:r>
      <w:bookmarkEnd w:id="56"/>
      <w:bookmarkEnd w:id="57"/>
    </w:p>
    <w:p>
      <w:pPr>
        <w:pStyle w:val="47"/>
        <w:rPr>
          <w:rFonts w:hint="default" w:ascii="Times New Roman" w:hAnsi="Times New Roman" w:cs="Times New Roman"/>
          <w:color w:val="auto"/>
          <w:highlight w:val="none"/>
        </w:rPr>
      </w:pPr>
    </w:p>
    <w:p>
      <w:pPr>
        <w:pStyle w:val="47"/>
        <w:rPr>
          <w:rFonts w:hint="default" w:ascii="Times New Roman" w:hAnsi="Times New Roman" w:cs="Times New Roman"/>
          <w:color w:val="auto"/>
          <w:highlight w:val="none"/>
        </w:rPr>
      </w:pPr>
    </w:p>
    <w:p>
      <w:pPr>
        <w:pStyle w:val="47"/>
        <w:rPr>
          <w:rFonts w:hint="default" w:ascii="Times New Roman" w:hAnsi="Times New Roman" w:cs="Times New Roman"/>
          <w:color w:val="auto"/>
          <w:highlight w:val="none"/>
        </w:rPr>
      </w:pPr>
    </w:p>
    <w:p>
      <w:pPr>
        <w:spacing w:line="360" w:lineRule="auto"/>
        <w:jc w:val="center"/>
        <w:rPr>
          <w:rFonts w:hint="default" w:ascii="Times New Roman" w:hAnsi="Times New Roman" w:eastAsia="黑体" w:cs="Times New Roman"/>
          <w:bCs/>
          <w:color w:val="auto"/>
          <w:sz w:val="52"/>
          <w:szCs w:val="52"/>
          <w:highlight w:val="none"/>
        </w:rPr>
      </w:pPr>
      <w:r>
        <w:rPr>
          <w:rFonts w:hint="default" w:ascii="Times New Roman" w:hAnsi="Times New Roman" w:eastAsia="黑体" w:cs="Times New Roman"/>
          <w:bCs/>
          <w:color w:val="auto"/>
          <w:sz w:val="52"/>
          <w:szCs w:val="52"/>
          <w:highlight w:val="none"/>
        </w:rPr>
        <w:t>绿色</w:t>
      </w:r>
      <w:r>
        <w:rPr>
          <w:rFonts w:hint="default" w:ascii="Times New Roman" w:hAnsi="Times New Roman" w:eastAsia="黑体" w:cs="Times New Roman"/>
          <w:bCs/>
          <w:color w:val="auto"/>
          <w:sz w:val="52"/>
          <w:szCs w:val="52"/>
          <w:highlight w:val="none"/>
          <w:lang w:val="en-US" w:eastAsia="zh-CN"/>
        </w:rPr>
        <w:t>工业</w:t>
      </w:r>
      <w:r>
        <w:rPr>
          <w:rFonts w:hint="default" w:ascii="Times New Roman" w:hAnsi="Times New Roman" w:eastAsia="黑体" w:cs="Times New Roman"/>
          <w:bCs/>
          <w:color w:val="auto"/>
          <w:sz w:val="52"/>
          <w:szCs w:val="52"/>
          <w:highlight w:val="none"/>
        </w:rPr>
        <w:t>园区评价报告</w:t>
      </w:r>
    </w:p>
    <w:p>
      <w:pPr>
        <w:spacing w:line="360" w:lineRule="auto"/>
        <w:rPr>
          <w:rFonts w:hint="default" w:ascii="Times New Roman" w:hAnsi="Times New Roman" w:cs="Times New Roman"/>
          <w:b/>
          <w:color w:val="auto"/>
          <w:sz w:val="52"/>
          <w:highlight w:val="none"/>
        </w:rPr>
      </w:pPr>
    </w:p>
    <w:p>
      <w:pPr>
        <w:spacing w:line="360" w:lineRule="auto"/>
        <w:rPr>
          <w:rFonts w:hint="default" w:ascii="Times New Roman" w:hAnsi="Times New Roman" w:cs="Times New Roman"/>
          <w:b/>
          <w:color w:val="auto"/>
          <w:sz w:val="52"/>
          <w:highlight w:val="none"/>
        </w:rPr>
      </w:pPr>
    </w:p>
    <w:p>
      <w:pPr>
        <w:spacing w:line="360" w:lineRule="auto"/>
        <w:rPr>
          <w:rFonts w:hint="default" w:ascii="Times New Roman" w:hAnsi="Times New Roman" w:cs="Times New Roman"/>
          <w:b/>
          <w:color w:val="auto"/>
          <w:sz w:val="52"/>
          <w:highlight w:val="none"/>
        </w:rPr>
      </w:pPr>
    </w:p>
    <w:p>
      <w:pPr>
        <w:spacing w:line="360" w:lineRule="auto"/>
        <w:rPr>
          <w:rFonts w:hint="default" w:ascii="Times New Roman" w:hAnsi="Times New Roman" w:cs="Times New Roman"/>
          <w:b/>
          <w:color w:val="auto"/>
          <w:sz w:val="52"/>
          <w:highlight w:val="none"/>
        </w:rPr>
      </w:pPr>
    </w:p>
    <w:p>
      <w:pPr>
        <w:spacing w:line="360" w:lineRule="auto"/>
        <w:rPr>
          <w:rFonts w:hint="default" w:ascii="Times New Roman" w:hAnsi="Times New Roman" w:eastAsia="仿宋_GB2312" w:cs="Times New Roman"/>
          <w:b/>
          <w:color w:val="auto"/>
          <w:sz w:val="52"/>
          <w:highlight w:val="none"/>
        </w:rPr>
      </w:pPr>
    </w:p>
    <w:p>
      <w:pPr>
        <w:spacing w:line="360" w:lineRule="auto"/>
        <w:ind w:firstLine="1800" w:firstLineChars="600"/>
        <w:rPr>
          <w:rFonts w:hint="default" w:ascii="Times New Roman" w:hAnsi="Times New Roman" w:eastAsia="仿宋_GB2312" w:cs="Times New Roman"/>
          <w:color w:val="auto"/>
          <w:sz w:val="30"/>
          <w:highlight w:val="none"/>
          <w:u w:val="single"/>
        </w:rPr>
      </w:pPr>
      <w:r>
        <w:rPr>
          <w:rFonts w:hint="default" w:ascii="Times New Roman" w:hAnsi="Times New Roman" w:eastAsia="仿宋_GB2312" w:cs="Times New Roman"/>
          <w:color w:val="auto"/>
          <w:sz w:val="30"/>
          <w:highlight w:val="none"/>
        </w:rPr>
        <w:t>申报单位：</w:t>
      </w:r>
      <w:r>
        <w:rPr>
          <w:rFonts w:hint="default" w:ascii="Times New Roman" w:hAnsi="Times New Roman" w:eastAsia="仿宋_GB2312" w:cs="Times New Roman"/>
          <w:color w:val="auto"/>
          <w:sz w:val="30"/>
          <w:highlight w:val="none"/>
          <w:u w:val="single"/>
        </w:rPr>
        <w:t xml:space="preserve">                          </w:t>
      </w:r>
    </w:p>
    <w:p>
      <w:pPr>
        <w:spacing w:line="360" w:lineRule="auto"/>
        <w:rPr>
          <w:rFonts w:hint="default" w:ascii="Times New Roman" w:hAnsi="Times New Roman" w:eastAsia="仿宋_GB2312" w:cs="Times New Roman"/>
          <w:color w:val="auto"/>
          <w:sz w:val="30"/>
          <w:highlight w:val="none"/>
          <w:u w:val="single"/>
        </w:rPr>
      </w:pPr>
    </w:p>
    <w:p>
      <w:pPr>
        <w:spacing w:line="360" w:lineRule="auto"/>
        <w:ind w:firstLine="1800" w:firstLineChars="600"/>
        <w:rPr>
          <w:rFonts w:hint="default" w:ascii="Times New Roman" w:hAnsi="Times New Roman" w:eastAsia="仿宋_GB2312" w:cs="Times New Roman"/>
          <w:color w:val="auto"/>
          <w:sz w:val="30"/>
          <w:highlight w:val="none"/>
          <w:u w:val="single"/>
        </w:rPr>
      </w:pPr>
      <w:r>
        <w:rPr>
          <w:rFonts w:hint="default" w:ascii="Times New Roman" w:hAnsi="Times New Roman" w:eastAsia="仿宋_GB2312" w:cs="Times New Roman"/>
          <w:color w:val="auto"/>
          <w:sz w:val="30"/>
          <w:highlight w:val="none"/>
        </w:rPr>
        <w:t>所在市（州）：</w:t>
      </w:r>
      <w:r>
        <w:rPr>
          <w:rFonts w:hint="default" w:ascii="Times New Roman" w:hAnsi="Times New Roman" w:eastAsia="仿宋_GB2312" w:cs="Times New Roman"/>
          <w:color w:val="auto"/>
          <w:sz w:val="30"/>
          <w:highlight w:val="none"/>
          <w:u w:val="single"/>
        </w:rPr>
        <w:t xml:space="preserve">                       </w:t>
      </w:r>
    </w:p>
    <w:p>
      <w:pPr>
        <w:spacing w:line="360" w:lineRule="auto"/>
        <w:rPr>
          <w:rFonts w:hint="default" w:ascii="Times New Roman" w:hAnsi="Times New Roman" w:cs="Times New Roman"/>
          <w:color w:val="auto"/>
          <w:sz w:val="30"/>
          <w:highlight w:val="none"/>
        </w:rPr>
      </w:pPr>
    </w:p>
    <w:p>
      <w:pPr>
        <w:spacing w:line="360" w:lineRule="auto"/>
        <w:rPr>
          <w:rFonts w:hint="default" w:ascii="Times New Roman" w:hAnsi="Times New Roman" w:cs="Times New Roman"/>
          <w:color w:val="auto"/>
          <w:sz w:val="30"/>
          <w:highlight w:val="none"/>
        </w:rPr>
      </w:pPr>
    </w:p>
    <w:p>
      <w:pPr>
        <w:spacing w:line="360" w:lineRule="auto"/>
        <w:rPr>
          <w:rFonts w:hint="default" w:ascii="Times New Roman" w:hAnsi="Times New Roman" w:cs="Times New Roman"/>
          <w:color w:val="auto"/>
          <w:sz w:val="30"/>
          <w:highlight w:val="none"/>
        </w:rPr>
      </w:pPr>
    </w:p>
    <w:p>
      <w:pPr>
        <w:spacing w:line="360" w:lineRule="auto"/>
        <w:rPr>
          <w:rFonts w:hint="default" w:ascii="Times New Roman" w:hAnsi="Times New Roman" w:cs="Times New Roman"/>
          <w:color w:val="auto"/>
          <w:sz w:val="30"/>
          <w:highlight w:val="none"/>
        </w:rPr>
      </w:pPr>
    </w:p>
    <w:p>
      <w:pPr>
        <w:spacing w:line="360" w:lineRule="auto"/>
        <w:jc w:val="center"/>
        <w:rPr>
          <w:rFonts w:hint="default" w:ascii="Times New Roman" w:hAnsi="Times New Roman" w:eastAsia="仿宋_GB2312" w:cs="Times New Roman"/>
          <w:color w:val="auto"/>
          <w:sz w:val="30"/>
          <w:highlight w:val="none"/>
        </w:rPr>
      </w:pPr>
      <w:r>
        <w:rPr>
          <w:rFonts w:hint="default" w:ascii="Times New Roman" w:hAnsi="Times New Roman" w:eastAsia="仿宋_GB2312" w:cs="Times New Roman"/>
          <w:color w:val="auto"/>
          <w:sz w:val="30"/>
          <w:highlight w:val="none"/>
        </w:rPr>
        <w:t>贵州省工业和信息化厅制</w:t>
      </w:r>
    </w:p>
    <w:p>
      <w:pPr>
        <w:spacing w:line="360" w:lineRule="auto"/>
        <w:jc w:val="center"/>
        <w:rPr>
          <w:rFonts w:hint="default" w:ascii="Times New Roman" w:hAnsi="Times New Roman" w:eastAsia="仿宋" w:cs="Times New Roman"/>
          <w:color w:val="auto"/>
          <w:sz w:val="30"/>
          <w:highlight w:val="none"/>
        </w:rPr>
      </w:pPr>
      <w:r>
        <w:rPr>
          <w:rFonts w:hint="default" w:ascii="Times New Roman" w:hAnsi="Times New Roman" w:eastAsia="仿宋_GB2312" w:cs="Times New Roman"/>
          <w:color w:val="auto"/>
          <w:sz w:val="30"/>
          <w:highlight w:val="none"/>
        </w:rPr>
        <w:t>20  年    月    日</w:t>
      </w:r>
    </w:p>
    <w:p>
      <w:pPr>
        <w:spacing w:line="360" w:lineRule="auto"/>
        <w:rPr>
          <w:rFonts w:hint="default" w:ascii="Times New Roman" w:hAnsi="Times New Roman" w:cs="Times New Roman"/>
          <w:b/>
          <w:color w:val="auto"/>
          <w:sz w:val="30"/>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spacing w:line="360" w:lineRule="auto"/>
        <w:rPr>
          <w:rFonts w:hint="default" w:ascii="Times New Roman" w:hAnsi="Times New Roman" w:cs="Times New Roman"/>
          <w:b/>
          <w:color w:val="auto"/>
          <w:sz w:val="30"/>
          <w:highlight w:val="none"/>
        </w:rPr>
      </w:pPr>
    </w:p>
    <w:p>
      <w:pPr>
        <w:spacing w:line="360" w:lineRule="auto"/>
        <w:jc w:val="center"/>
        <w:rPr>
          <w:rFonts w:hint="default" w:ascii="Times New Roman" w:hAnsi="Times New Roman" w:eastAsia="黑体" w:cs="Times New Roman"/>
          <w:color w:val="auto"/>
          <w:sz w:val="48"/>
          <w:szCs w:val="48"/>
          <w:highlight w:val="none"/>
        </w:rPr>
      </w:pPr>
      <w:r>
        <w:rPr>
          <w:rFonts w:hint="default" w:ascii="Times New Roman" w:hAnsi="Times New Roman" w:eastAsia="黑体" w:cs="Times New Roman"/>
          <w:color w:val="auto"/>
          <w:sz w:val="48"/>
          <w:szCs w:val="48"/>
          <w:highlight w:val="none"/>
        </w:rPr>
        <w:t>填 写 说 明</w:t>
      </w:r>
    </w:p>
    <w:p>
      <w:pPr>
        <w:spacing w:line="360" w:lineRule="auto"/>
        <w:jc w:val="center"/>
        <w:rPr>
          <w:rFonts w:hint="default" w:ascii="Times New Roman" w:hAnsi="Times New Roman" w:eastAsia="仿宋_GB2312" w:cs="Times New Roman"/>
          <w:b/>
          <w:color w:val="auto"/>
          <w:sz w:val="30"/>
          <w:highlight w:val="none"/>
        </w:rPr>
      </w:pPr>
    </w:p>
    <w:p>
      <w:pPr>
        <w:tabs>
          <w:tab w:val="left" w:pos="600"/>
          <w:tab w:val="left" w:pos="1152"/>
        </w:tabs>
        <w:spacing w:line="580" w:lineRule="exac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一、申请</w:t>
      </w:r>
      <w:r>
        <w:rPr>
          <w:rFonts w:hint="default" w:ascii="Times New Roman" w:hAnsi="Times New Roman" w:eastAsia="仿宋_GB2312" w:cs="Times New Roman"/>
          <w:color w:val="auto"/>
          <w:kern w:val="0"/>
          <w:sz w:val="32"/>
          <w:szCs w:val="32"/>
          <w:highlight w:val="none"/>
          <w:lang w:val="en-US" w:eastAsia="zh-CN"/>
        </w:rPr>
        <w:t>开发区</w:t>
      </w:r>
      <w:r>
        <w:rPr>
          <w:rFonts w:hint="default" w:ascii="Times New Roman" w:hAnsi="Times New Roman" w:eastAsia="仿宋_GB2312" w:cs="Times New Roman"/>
          <w:color w:val="auto"/>
          <w:kern w:val="0"/>
          <w:sz w:val="32"/>
          <w:szCs w:val="32"/>
          <w:highlight w:val="none"/>
        </w:rPr>
        <w:t>应当准确、如实填报。</w:t>
      </w:r>
    </w:p>
    <w:p>
      <w:pPr>
        <w:tabs>
          <w:tab w:val="left" w:pos="600"/>
          <w:tab w:val="left" w:pos="1152"/>
        </w:tabs>
        <w:spacing w:line="580" w:lineRule="exac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二、园区类型主要包括经济技术开发区、高新技术产业开发区、保税区、边境经济合作区、出口加工区、保税港区、新区、自贸区、省级开发区等。</w:t>
      </w:r>
    </w:p>
    <w:p>
      <w:pPr>
        <w:tabs>
          <w:tab w:val="left" w:pos="600"/>
          <w:tab w:val="left" w:pos="1152"/>
        </w:tabs>
        <w:spacing w:line="580" w:lineRule="exac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三、有关项目页面不够时，可加附页。</w:t>
      </w:r>
    </w:p>
    <w:p>
      <w:pPr>
        <w:tabs>
          <w:tab w:val="left" w:pos="600"/>
          <w:tab w:val="left" w:pos="1152"/>
        </w:tabs>
        <w:spacing w:line="580" w:lineRule="exact"/>
        <w:rPr>
          <w:rFonts w:hint="default" w:ascii="Times New Roman" w:hAnsi="Times New Roman" w:eastAsia="仿宋_GB2312" w:cs="Times New Roman"/>
          <w:color w:val="auto"/>
          <w:kern w:val="0"/>
          <w:sz w:val="32"/>
          <w:szCs w:val="32"/>
          <w:highlight w:val="none"/>
        </w:rPr>
      </w:pPr>
    </w:p>
    <w:p>
      <w:pPr>
        <w:spacing w:line="360" w:lineRule="auto"/>
        <w:jc w:val="center"/>
        <w:rPr>
          <w:rFonts w:hint="default" w:ascii="Times New Roman" w:hAnsi="Times New Roman" w:eastAsia="黑体" w:cs="Times New Roman"/>
          <w:bCs/>
          <w:color w:val="auto"/>
          <w:sz w:val="32"/>
          <w:szCs w:val="32"/>
          <w:highlight w:val="none"/>
        </w:rPr>
      </w:pPr>
      <w:r>
        <w:rPr>
          <w:rFonts w:hint="default" w:ascii="Times New Roman" w:hAnsi="Times New Roman" w:eastAsia="仿宋_GB2312" w:cs="Times New Roman"/>
          <w:color w:val="auto"/>
          <w:sz w:val="30"/>
          <w:highlight w:val="none"/>
        </w:rPr>
        <w:br w:type="page"/>
      </w:r>
      <w:r>
        <w:rPr>
          <w:rFonts w:hint="default" w:ascii="Times New Roman" w:hAnsi="Times New Roman" w:eastAsia="黑体" w:cs="Times New Roman"/>
          <w:bCs/>
          <w:color w:val="auto"/>
          <w:sz w:val="32"/>
          <w:szCs w:val="32"/>
          <w:highlight w:val="none"/>
        </w:rPr>
        <w:t>基本信息表</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4"/>
        <w:gridCol w:w="3034"/>
        <w:gridCol w:w="1301"/>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3"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园区名称</w:t>
            </w:r>
          </w:p>
        </w:tc>
        <w:tc>
          <w:tcPr>
            <w:tcW w:w="3816" w:type="pct"/>
            <w:gridSpan w:val="3"/>
            <w:noWrap w:val="0"/>
            <w:vAlign w:val="center"/>
          </w:tcPr>
          <w:p>
            <w:pPr>
              <w:spacing w:line="360" w:lineRule="auto"/>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3"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园区级别</w:t>
            </w:r>
          </w:p>
        </w:tc>
        <w:tc>
          <w:tcPr>
            <w:tcW w:w="1782" w:type="pct"/>
            <w:noWrap w:val="0"/>
            <w:vAlign w:val="center"/>
          </w:tcPr>
          <w:p>
            <w:pPr>
              <w:pStyle w:val="149"/>
              <w:numPr>
                <w:ilvl w:val="0"/>
                <w:numId w:val="0"/>
              </w:numPr>
              <w:spacing w:line="360" w:lineRule="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 xml:space="preserve">□ 国家级   □ 省级    </w:t>
            </w:r>
          </w:p>
        </w:tc>
        <w:tc>
          <w:tcPr>
            <w:tcW w:w="764"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园区类型</w:t>
            </w:r>
          </w:p>
        </w:tc>
        <w:tc>
          <w:tcPr>
            <w:tcW w:w="1269" w:type="pct"/>
            <w:noWrap w:val="0"/>
            <w:vAlign w:val="center"/>
          </w:tcPr>
          <w:p>
            <w:pPr>
              <w:spacing w:line="360" w:lineRule="auto"/>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3"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通讯地址</w:t>
            </w:r>
          </w:p>
        </w:tc>
        <w:tc>
          <w:tcPr>
            <w:tcW w:w="3816" w:type="pct"/>
            <w:gridSpan w:val="3"/>
            <w:noWrap w:val="0"/>
            <w:vAlign w:val="center"/>
          </w:tcPr>
          <w:p>
            <w:pPr>
              <w:spacing w:line="360" w:lineRule="auto"/>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83"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园区负责人</w:t>
            </w:r>
          </w:p>
        </w:tc>
        <w:tc>
          <w:tcPr>
            <w:tcW w:w="1782" w:type="pct"/>
            <w:noWrap w:val="0"/>
            <w:vAlign w:val="center"/>
          </w:tcPr>
          <w:p>
            <w:pPr>
              <w:spacing w:line="360" w:lineRule="auto"/>
              <w:rPr>
                <w:rFonts w:hint="default" w:ascii="Times New Roman" w:hAnsi="Times New Roman" w:eastAsia="仿宋_GB2312" w:cs="Times New Roman"/>
                <w:color w:val="auto"/>
                <w:sz w:val="24"/>
                <w:szCs w:val="24"/>
                <w:highlight w:val="none"/>
              </w:rPr>
            </w:pPr>
          </w:p>
        </w:tc>
        <w:tc>
          <w:tcPr>
            <w:tcW w:w="764"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职务</w:t>
            </w:r>
          </w:p>
        </w:tc>
        <w:tc>
          <w:tcPr>
            <w:tcW w:w="1269" w:type="pct"/>
            <w:noWrap w:val="0"/>
            <w:vAlign w:val="center"/>
          </w:tcPr>
          <w:p>
            <w:pPr>
              <w:spacing w:line="360" w:lineRule="auto"/>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3"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申报单位联系人</w:t>
            </w:r>
          </w:p>
        </w:tc>
        <w:tc>
          <w:tcPr>
            <w:tcW w:w="1782" w:type="pct"/>
            <w:noWrap w:val="0"/>
            <w:vAlign w:val="center"/>
          </w:tcPr>
          <w:p>
            <w:pPr>
              <w:spacing w:line="360" w:lineRule="auto"/>
              <w:rPr>
                <w:rFonts w:hint="default" w:ascii="Times New Roman" w:hAnsi="Times New Roman" w:eastAsia="仿宋_GB2312" w:cs="Times New Roman"/>
                <w:color w:val="auto"/>
                <w:sz w:val="24"/>
                <w:szCs w:val="24"/>
                <w:highlight w:val="none"/>
              </w:rPr>
            </w:pPr>
          </w:p>
        </w:tc>
        <w:tc>
          <w:tcPr>
            <w:tcW w:w="764"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职务</w:t>
            </w:r>
          </w:p>
        </w:tc>
        <w:tc>
          <w:tcPr>
            <w:tcW w:w="1269" w:type="pct"/>
            <w:noWrap w:val="0"/>
            <w:vAlign w:val="center"/>
          </w:tcPr>
          <w:p>
            <w:pPr>
              <w:spacing w:line="360" w:lineRule="auto"/>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3"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联系电话</w:t>
            </w:r>
          </w:p>
        </w:tc>
        <w:tc>
          <w:tcPr>
            <w:tcW w:w="1782" w:type="pct"/>
            <w:noWrap w:val="0"/>
            <w:vAlign w:val="center"/>
          </w:tcPr>
          <w:p>
            <w:pPr>
              <w:spacing w:line="360" w:lineRule="auto"/>
              <w:rPr>
                <w:rFonts w:hint="default" w:ascii="Times New Roman" w:hAnsi="Times New Roman" w:eastAsia="仿宋_GB2312" w:cs="Times New Roman"/>
                <w:color w:val="auto"/>
                <w:sz w:val="24"/>
                <w:szCs w:val="24"/>
                <w:highlight w:val="none"/>
              </w:rPr>
            </w:pPr>
          </w:p>
        </w:tc>
        <w:tc>
          <w:tcPr>
            <w:tcW w:w="764" w:type="pc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电子邮箱</w:t>
            </w:r>
          </w:p>
        </w:tc>
        <w:tc>
          <w:tcPr>
            <w:tcW w:w="1269" w:type="pct"/>
            <w:noWrap w:val="0"/>
            <w:vAlign w:val="center"/>
          </w:tcPr>
          <w:p>
            <w:pPr>
              <w:spacing w:line="360" w:lineRule="auto"/>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4" w:hRule="atLeast"/>
        </w:trPr>
        <w:tc>
          <w:tcPr>
            <w:tcW w:w="1183" w:type="pct"/>
            <w:tcBorders>
              <w:bottom w:val="nil"/>
            </w:tcBorders>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园区简介</w:t>
            </w:r>
          </w:p>
        </w:tc>
        <w:tc>
          <w:tcPr>
            <w:tcW w:w="3816" w:type="pct"/>
            <w:gridSpan w:val="3"/>
            <w:tcBorders>
              <w:bottom w:val="nil"/>
            </w:tcBorders>
            <w:noWrap w:val="0"/>
            <w:vAlign w:val="center"/>
          </w:tcPr>
          <w:p>
            <w:pPr>
              <w:spacing w:line="360" w:lineRule="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500字以内）</w:t>
            </w:r>
          </w:p>
          <w:p>
            <w:pPr>
              <w:spacing w:line="360" w:lineRule="auto"/>
              <w:rPr>
                <w:rFonts w:hint="default" w:ascii="Times New Roman" w:hAnsi="Times New Roman" w:eastAsia="仿宋_GB2312" w:cs="Times New Roman"/>
                <w:color w:val="auto"/>
                <w:sz w:val="24"/>
                <w:szCs w:val="24"/>
                <w:highlight w:val="none"/>
              </w:rPr>
            </w:pPr>
          </w:p>
          <w:p>
            <w:pPr>
              <w:spacing w:line="360" w:lineRule="auto"/>
              <w:rPr>
                <w:rFonts w:hint="default" w:ascii="Times New Roman" w:hAnsi="Times New Roman" w:eastAsia="仿宋_GB2312" w:cs="Times New Roman"/>
                <w:color w:val="auto"/>
                <w:sz w:val="24"/>
                <w:szCs w:val="24"/>
                <w:highlight w:val="none"/>
              </w:rPr>
            </w:pPr>
          </w:p>
          <w:p>
            <w:pPr>
              <w:spacing w:line="360" w:lineRule="auto"/>
              <w:rPr>
                <w:rFonts w:hint="default" w:ascii="Times New Roman" w:hAnsi="Times New Roman" w:eastAsia="仿宋_GB2312" w:cs="Times New Roman"/>
                <w:color w:val="auto"/>
                <w:sz w:val="24"/>
                <w:szCs w:val="24"/>
                <w:highlight w:val="none"/>
              </w:rPr>
            </w:pPr>
          </w:p>
          <w:p>
            <w:pPr>
              <w:spacing w:line="360" w:lineRule="auto"/>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1183" w:type="pct"/>
            <w:tcBorders>
              <w:bottom w:val="nil"/>
            </w:tcBorders>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kern w:val="0"/>
                <w:sz w:val="24"/>
                <w:highlight w:val="none"/>
                <w:lang w:val="en-US" w:eastAsia="zh-CN"/>
              </w:rPr>
              <w:t>绿色园区创建经验及成效</w:t>
            </w:r>
          </w:p>
        </w:tc>
        <w:tc>
          <w:tcPr>
            <w:tcW w:w="3816" w:type="pct"/>
            <w:gridSpan w:val="3"/>
            <w:tcBorders>
              <w:bottom w:val="nil"/>
            </w:tcBorders>
            <w:noWrap w:val="0"/>
            <w:vAlign w:val="center"/>
          </w:tcPr>
          <w:p>
            <w:pPr>
              <w:spacing w:line="360" w:lineRule="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（从</w:t>
            </w:r>
            <w:r>
              <w:rPr>
                <w:rFonts w:hint="default" w:ascii="Times New Roman" w:hAnsi="Times New Roman" w:eastAsia="仿宋_GB2312" w:cs="Times New Roman"/>
                <w:color w:val="auto"/>
                <w:sz w:val="24"/>
                <w:szCs w:val="24"/>
                <w:highlight w:val="none"/>
                <w:lang w:val="en-US" w:eastAsia="zh-CN"/>
              </w:rPr>
              <w:t>能源利用、资源利用、基础设施、产业、生态环境、运行管理</w:t>
            </w:r>
            <w:r>
              <w:rPr>
                <w:rFonts w:hint="default" w:ascii="Times New Roman" w:hAnsi="Times New Roman" w:eastAsia="仿宋_GB2312" w:cs="Times New Roman"/>
                <w:color w:val="auto"/>
                <w:sz w:val="24"/>
                <w:szCs w:val="24"/>
                <w:highlight w:val="none"/>
              </w:rPr>
              <w:t>等方面概述</w:t>
            </w:r>
            <w:r>
              <w:rPr>
                <w:rFonts w:hint="default" w:ascii="Times New Roman" w:hAnsi="Times New Roman" w:eastAsia="仿宋_GB2312" w:cs="Times New Roman"/>
                <w:color w:val="auto"/>
                <w:sz w:val="24"/>
                <w:szCs w:val="24"/>
                <w:highlight w:val="none"/>
                <w:lang w:val="en-US" w:eastAsia="zh-CN"/>
              </w:rPr>
              <w:t>园区</w:t>
            </w:r>
            <w:r>
              <w:rPr>
                <w:rFonts w:hint="default" w:ascii="Times New Roman" w:hAnsi="Times New Roman" w:eastAsia="仿宋_GB2312" w:cs="Times New Roman"/>
                <w:color w:val="auto"/>
                <w:sz w:val="24"/>
                <w:szCs w:val="24"/>
                <w:highlight w:val="none"/>
              </w:rPr>
              <w:t>创建的经验和成效</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1000字以内</w:t>
            </w:r>
            <w:r>
              <w:rPr>
                <w:rFonts w:hint="default" w:ascii="Times New Roman" w:hAnsi="Times New Roman" w:eastAsia="仿宋_GB2312"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6" w:hRule="atLeast"/>
        </w:trPr>
        <w:tc>
          <w:tcPr>
            <w:tcW w:w="5000" w:type="pct"/>
            <w:gridSpan w:val="4"/>
            <w:noWrap w:val="0"/>
            <w:vAlign w:val="center"/>
          </w:tcPr>
          <w:p>
            <w:pPr>
              <w:widowControl/>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rPr>
              <w:t>材料真实性承诺:</w:t>
            </w:r>
          </w:p>
          <w:p>
            <w:pPr>
              <w:widowControl/>
              <w:ind w:firstLine="496" w:firstLineChars="207"/>
              <w:rPr>
                <w:rFonts w:hint="default" w:ascii="Times New Roman" w:hAnsi="Times New Roman" w:eastAsia="仿宋_GB2312" w:cs="Times New Roman"/>
                <w:color w:val="auto"/>
                <w:kern w:val="0"/>
                <w:sz w:val="24"/>
                <w:highlight w:val="none"/>
              </w:rPr>
            </w:pPr>
          </w:p>
          <w:p>
            <w:pPr>
              <w:widowControl/>
              <w:ind w:firstLine="496" w:firstLineChars="207"/>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我单位郑重承诺：</w:t>
            </w:r>
            <w:r>
              <w:rPr>
                <w:rFonts w:hint="default" w:ascii="Times New Roman" w:hAnsi="Times New Roman" w:eastAsia="仿宋_GB2312" w:cs="Times New Roman"/>
                <w:color w:val="auto"/>
                <w:kern w:val="0"/>
                <w:sz w:val="24"/>
                <w:highlight w:val="none"/>
                <w:lang w:val="en-US" w:eastAsia="zh-CN"/>
              </w:rPr>
              <w:t>园区内近三年未</w:t>
            </w:r>
            <w:r>
              <w:rPr>
                <w:rFonts w:hint="default" w:ascii="Times New Roman" w:hAnsi="Times New Roman" w:eastAsia="仿宋_GB2312" w:cs="Times New Roman"/>
                <w:color w:val="auto"/>
                <w:kern w:val="0"/>
                <w:sz w:val="24"/>
                <w:highlight w:val="none"/>
              </w:rPr>
              <w:t>发生安全（含网络安全、数据安全）、质量、环境污染等事故以及偷漏税等违法违规行为</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近三年</w:t>
            </w:r>
            <w:r>
              <w:rPr>
                <w:rFonts w:hint="default" w:ascii="Times New Roman" w:hAnsi="Times New Roman" w:eastAsia="仿宋_GB2312" w:cs="Times New Roman"/>
                <w:color w:val="auto"/>
                <w:kern w:val="0"/>
                <w:sz w:val="24"/>
                <w:highlight w:val="none"/>
                <w:lang w:val="en-US" w:eastAsia="zh-CN"/>
              </w:rPr>
              <w:t>未</w:t>
            </w:r>
            <w:r>
              <w:rPr>
                <w:rFonts w:hint="default" w:ascii="Times New Roman" w:hAnsi="Times New Roman" w:eastAsia="仿宋_GB2312" w:cs="Times New Roman"/>
                <w:color w:val="auto"/>
                <w:kern w:val="0"/>
                <w:sz w:val="24"/>
                <w:highlight w:val="none"/>
              </w:rPr>
              <w:t>在国务院及有关部委相关督查工作中被发现存在严重问题</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完成国家或地方政府下达的节能减排指标</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本次申报绿色工业园区示范所提交的相关数据和信息均真实、有效，愿接受并积极配合主管部门的监督抽查和核验。如有违反，愿承担由此产生的相应责任。</w:t>
            </w:r>
          </w:p>
          <w:p>
            <w:pPr>
              <w:widowControl/>
              <w:ind w:firstLine="496" w:firstLineChars="207"/>
              <w:rPr>
                <w:rFonts w:hint="default" w:ascii="Times New Roman" w:hAnsi="Times New Roman" w:eastAsia="仿宋_GB2312" w:cs="Times New Roman"/>
                <w:color w:val="auto"/>
                <w:kern w:val="0"/>
                <w:sz w:val="24"/>
                <w:highlight w:val="none"/>
              </w:rPr>
            </w:pPr>
          </w:p>
          <w:p>
            <w:pPr>
              <w:widowControl/>
              <w:wordWrap w:val="0"/>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rPr>
              <w:t xml:space="preserve">                                         负责人签字：          </w:t>
            </w:r>
          </w:p>
          <w:p>
            <w:pPr>
              <w:widowControl/>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rPr>
              <w:t xml:space="preserve">                                             （盖章）</w:t>
            </w:r>
          </w:p>
          <w:p>
            <w:pPr>
              <w:spacing w:line="360" w:lineRule="auto"/>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rPr>
              <w:t xml:space="preserve">                                               日期：  </w:t>
            </w:r>
          </w:p>
          <w:p>
            <w:pPr>
              <w:spacing w:line="360" w:lineRule="auto"/>
              <w:rPr>
                <w:rFonts w:hint="default" w:ascii="Times New Roman" w:hAnsi="Times New Roman" w:eastAsia="仿宋_GB2312" w:cs="Times New Roman"/>
                <w:b/>
                <w:color w:val="auto"/>
                <w:kern w:val="0"/>
                <w:sz w:val="24"/>
                <w:highlight w:val="none"/>
              </w:rPr>
            </w:pPr>
          </w:p>
        </w:tc>
      </w:tr>
    </w:tbl>
    <w:p>
      <w:pPr>
        <w:pStyle w:val="2"/>
        <w:rPr>
          <w:rFonts w:hint="default" w:ascii="Times New Roman" w:hAnsi="Times New Roman" w:cs="Times New Roman"/>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pStyle w:val="47"/>
              <w:ind w:left="0" w:leftChars="0" w:firstLine="0" w:firstLineChars="0"/>
              <w:jc w:val="center"/>
              <w:rPr>
                <w:rFonts w:hint="default" w:ascii="Times New Roman" w:hAnsi="Times New Roman" w:eastAsia="黑体" w:cs="Times New Roman"/>
                <w:color w:val="auto"/>
                <w:kern w:val="2"/>
                <w:sz w:val="48"/>
                <w:szCs w:val="48"/>
                <w:highlight w:val="none"/>
                <w:lang w:val="en-US" w:eastAsia="zh-CN" w:bidi="ar-SA"/>
              </w:rPr>
            </w:pPr>
            <w:r>
              <w:rPr>
                <w:rFonts w:hint="default" w:ascii="Times New Roman" w:hAnsi="Times New Roman" w:eastAsia="黑体" w:cs="Times New Roman"/>
                <w:color w:val="auto"/>
                <w:kern w:val="2"/>
                <w:sz w:val="48"/>
                <w:szCs w:val="48"/>
                <w:highlight w:val="none"/>
                <w:lang w:val="en-US" w:eastAsia="zh-CN" w:bidi="ar-SA"/>
              </w:rPr>
              <w:t>形象页</w:t>
            </w:r>
          </w:p>
          <w:p>
            <w:pPr>
              <w:pStyle w:val="47"/>
              <w:ind w:left="0" w:leftChars="0" w:firstLine="0" w:firstLineChars="0"/>
              <w:jc w:val="center"/>
              <w:rPr>
                <w:rFonts w:hint="default" w:ascii="Times New Roman" w:hAnsi="Times New Roman" w:eastAsia="仿宋_GB2312" w:cs="Times New Roman"/>
                <w:color w:val="auto"/>
                <w:sz w:val="32"/>
                <w:szCs w:val="32"/>
                <w:highlight w:val="none"/>
                <w:vertAlign w:val="baseline"/>
                <w:lang w:val="en-US" w:eastAsia="zh-CN"/>
              </w:rPr>
            </w:pPr>
            <w:r>
              <w:rPr>
                <w:rFonts w:hint="default" w:ascii="Times New Roman" w:hAnsi="Times New Roman" w:eastAsia="仿宋_GB2312" w:cs="Times New Roman"/>
                <w:color w:val="auto"/>
                <w:sz w:val="32"/>
                <w:szCs w:val="32"/>
                <w:highlight w:val="none"/>
                <w:vertAlign w:val="baseline"/>
                <w:lang w:val="en-US" w:eastAsia="zh-CN"/>
              </w:rPr>
              <w:t>（</w:t>
            </w:r>
            <w:r>
              <w:rPr>
                <w:rFonts w:hint="default" w:ascii="Times New Roman" w:hAnsi="Times New Roman" w:cs="Times New Roman"/>
                <w:color w:val="auto"/>
                <w:sz w:val="32"/>
                <w:szCs w:val="32"/>
                <w:highlight w:val="none"/>
                <w:vertAlign w:val="baseline"/>
                <w:lang w:val="en-US" w:eastAsia="zh-CN"/>
              </w:rPr>
              <w:t>体现开发区绿色制造形象的图片，不超过6张</w:t>
            </w:r>
            <w:r>
              <w:rPr>
                <w:rFonts w:hint="default" w:ascii="Times New Roman" w:hAnsi="Times New Roman" w:eastAsia="仿宋_GB2312" w:cs="Times New Roman"/>
                <w:color w:val="auto"/>
                <w:sz w:val="32"/>
                <w:szCs w:val="32"/>
                <w:highlight w:val="none"/>
                <w:vertAlign w:val="baseline"/>
                <w:lang w:val="en-US" w:eastAsia="zh-CN"/>
              </w:rPr>
              <w:t>）</w:t>
            </w: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ind w:left="0" w:leftChars="0" w:firstLine="0" w:firstLineChars="0"/>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tc>
      </w:tr>
    </w:tbl>
    <w:p>
      <w:pPr>
        <w:spacing w:line="360" w:lineRule="auto"/>
        <w:rPr>
          <w:rFonts w:hint="default" w:ascii="Times New Roman" w:hAnsi="Times New Roman" w:eastAsia="黑体" w:cs="Times New Roman"/>
          <w:bCs/>
          <w:color w:val="auto"/>
          <w:sz w:val="32"/>
          <w:szCs w:val="32"/>
          <w:highlight w:val="none"/>
        </w:rPr>
      </w:pPr>
    </w:p>
    <w:p>
      <w:pPr>
        <w:spacing w:line="360" w:lineRule="auto"/>
        <w:jc w:val="center"/>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lang w:val="en-US" w:eastAsia="zh-CN"/>
        </w:rPr>
        <w:t>目 录</w:t>
      </w:r>
    </w:p>
    <w:p>
      <w:pPr>
        <w:pStyle w:val="47"/>
        <w:rPr>
          <w:rFonts w:hint="default" w:ascii="Times New Roman" w:hAnsi="Times New Roman" w:eastAsia="黑体" w:cs="Times New Roman"/>
          <w:bCs/>
          <w:color w:val="auto"/>
          <w:sz w:val="32"/>
          <w:szCs w:val="32"/>
          <w:highlight w:val="none"/>
          <w:lang w:val="en-US" w:eastAsia="zh-CN"/>
        </w:rPr>
      </w:pPr>
    </w:p>
    <w:p>
      <w:pPr>
        <w:pStyle w:val="47"/>
        <w:rPr>
          <w:rFonts w:hint="default" w:ascii="Times New Roman" w:hAnsi="Times New Roman" w:eastAsia="黑体" w:cs="Times New Roman"/>
          <w:bCs/>
          <w:color w:val="auto"/>
          <w:sz w:val="32"/>
          <w:szCs w:val="32"/>
          <w:highlight w:val="none"/>
          <w:lang w:val="en-US" w:eastAsia="zh-CN"/>
        </w:rPr>
      </w:pPr>
    </w:p>
    <w:p>
      <w:pPr>
        <w:pStyle w:val="47"/>
        <w:rPr>
          <w:rFonts w:hint="default" w:ascii="Times New Roman" w:hAnsi="Times New Roman" w:eastAsia="黑体" w:cs="Times New Roman"/>
          <w:bCs/>
          <w:color w:val="auto"/>
          <w:sz w:val="32"/>
          <w:szCs w:val="32"/>
          <w:highlight w:val="none"/>
          <w:lang w:val="en-US" w:eastAsia="zh-CN"/>
        </w:rPr>
      </w:pPr>
    </w:p>
    <w:p>
      <w:pPr>
        <w:pStyle w:val="47"/>
        <w:rPr>
          <w:rFonts w:hint="default" w:ascii="Times New Roman" w:hAnsi="Times New Roman" w:eastAsia="黑体" w:cs="Times New Roman"/>
          <w:bCs/>
          <w:color w:val="auto"/>
          <w:sz w:val="32"/>
          <w:szCs w:val="32"/>
          <w:highlight w:val="none"/>
          <w:lang w:val="en-US" w:eastAsia="zh-CN"/>
        </w:rPr>
      </w:pPr>
    </w:p>
    <w:p>
      <w:pPr>
        <w:pStyle w:val="47"/>
        <w:rPr>
          <w:rFonts w:hint="default" w:ascii="Times New Roman" w:hAnsi="Times New Roman" w:eastAsia="黑体" w:cs="Times New Roman"/>
          <w:bCs/>
          <w:color w:val="auto"/>
          <w:sz w:val="32"/>
          <w:szCs w:val="32"/>
          <w:highlight w:val="none"/>
          <w:lang w:val="en-US" w:eastAsia="zh-CN"/>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spacing w:line="360" w:lineRule="auto"/>
        <w:rPr>
          <w:rFonts w:hint="default" w:ascii="Times New Roman" w:hAnsi="Times New Roman" w:eastAsia="黑体" w:cs="Times New Roman"/>
          <w:bCs/>
          <w:color w:val="auto"/>
          <w:sz w:val="32"/>
          <w:szCs w:val="32"/>
          <w:highlight w:val="none"/>
        </w:rPr>
      </w:pPr>
    </w:p>
    <w:p>
      <w:pPr>
        <w:numPr>
          <w:ilvl w:val="0"/>
          <w:numId w:val="4"/>
        </w:numPr>
        <w:spacing w:line="360" w:lineRule="auto"/>
        <w:ind w:firstLine="640" w:firstLineChars="200"/>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rPr>
        <w:t>园区</w:t>
      </w:r>
      <w:r>
        <w:rPr>
          <w:rFonts w:hint="default" w:ascii="Times New Roman" w:hAnsi="Times New Roman" w:eastAsia="黑体" w:cs="Times New Roman"/>
          <w:bCs/>
          <w:color w:val="auto"/>
          <w:sz w:val="32"/>
          <w:szCs w:val="32"/>
          <w:highlight w:val="none"/>
          <w:lang w:val="en-US" w:eastAsia="zh-CN"/>
        </w:rPr>
        <w:t>基本情况</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概述</w:t>
      </w:r>
      <w:r>
        <w:rPr>
          <w:rFonts w:hint="default" w:ascii="Times New Roman" w:hAnsi="Times New Roman" w:eastAsia="仿宋_GB2312" w:cs="Times New Roman"/>
          <w:color w:val="auto"/>
          <w:kern w:val="0"/>
          <w:sz w:val="32"/>
          <w:szCs w:val="32"/>
          <w:highlight w:val="none"/>
          <w:lang w:val="en-US" w:eastAsia="zh-CN"/>
        </w:rPr>
        <w:t>园区</w:t>
      </w:r>
      <w:r>
        <w:rPr>
          <w:rFonts w:hint="default" w:ascii="Times New Roman" w:hAnsi="Times New Roman" w:eastAsia="仿宋_GB2312" w:cs="Times New Roman"/>
          <w:color w:val="auto"/>
          <w:kern w:val="0"/>
          <w:sz w:val="32"/>
          <w:szCs w:val="32"/>
          <w:highlight w:val="none"/>
        </w:rPr>
        <w:t>的基本信息、</w:t>
      </w:r>
      <w:r>
        <w:rPr>
          <w:rFonts w:hint="default" w:ascii="Times New Roman" w:hAnsi="Times New Roman" w:eastAsia="仿宋_GB2312" w:cs="Times New Roman"/>
          <w:color w:val="auto"/>
          <w:kern w:val="0"/>
          <w:sz w:val="32"/>
          <w:szCs w:val="32"/>
          <w:highlight w:val="none"/>
          <w:lang w:val="en-US" w:eastAsia="zh-CN"/>
        </w:rPr>
        <w:t>功能区划、产业</w:t>
      </w:r>
      <w:r>
        <w:rPr>
          <w:rFonts w:hint="default" w:ascii="Times New Roman" w:hAnsi="Times New Roman" w:eastAsia="仿宋_GB2312" w:cs="Times New Roman"/>
          <w:color w:val="auto"/>
          <w:kern w:val="0"/>
          <w:sz w:val="32"/>
          <w:szCs w:val="32"/>
          <w:highlight w:val="none"/>
        </w:rPr>
        <w:t>发展现状以及在绿色发展方面开展的重点工作及取得的成绩等。</w:t>
      </w:r>
    </w:p>
    <w:p>
      <w:pPr>
        <w:numPr>
          <w:ilvl w:val="0"/>
          <w:numId w:val="0"/>
        </w:numPr>
        <w:spacing w:line="360" w:lineRule="auto"/>
        <w:ind w:firstLine="640" w:firstLineChars="200"/>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color w:val="auto"/>
          <w:kern w:val="0"/>
          <w:sz w:val="32"/>
          <w:szCs w:val="32"/>
          <w:highlight w:val="none"/>
          <w:lang w:eastAsia="zh-CN"/>
        </w:rPr>
        <w:t>二、</w:t>
      </w:r>
      <w:r>
        <w:rPr>
          <w:rFonts w:hint="default" w:ascii="Times New Roman" w:hAnsi="Times New Roman" w:eastAsia="黑体" w:cs="Times New Roman"/>
          <w:bCs/>
          <w:color w:val="auto"/>
          <w:sz w:val="32"/>
          <w:szCs w:val="32"/>
          <w:highlight w:val="none"/>
          <w:lang w:val="en-US" w:eastAsia="zh-CN"/>
        </w:rPr>
        <w:t>绿色园区创建情况</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rPr>
        <w:t>对照《绿色</w:t>
      </w:r>
      <w:r>
        <w:rPr>
          <w:rFonts w:hint="default" w:ascii="Times New Roman" w:hAnsi="Times New Roman" w:eastAsia="仿宋_GB2312" w:cs="Times New Roman"/>
          <w:color w:val="auto"/>
          <w:kern w:val="0"/>
          <w:sz w:val="32"/>
          <w:szCs w:val="32"/>
          <w:highlight w:val="none"/>
          <w:lang w:val="en-US" w:eastAsia="zh-CN"/>
        </w:rPr>
        <w:t>园区</w:t>
      </w:r>
      <w:r>
        <w:rPr>
          <w:rFonts w:hint="default" w:ascii="Times New Roman" w:hAnsi="Times New Roman" w:eastAsia="仿宋_GB2312" w:cs="Times New Roman"/>
          <w:color w:val="auto"/>
          <w:kern w:val="0"/>
          <w:sz w:val="32"/>
          <w:szCs w:val="32"/>
          <w:highlight w:val="none"/>
        </w:rPr>
        <w:t>评价要求》</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对园区基本要求的符合性以及</w:t>
      </w:r>
      <w:r>
        <w:rPr>
          <w:rFonts w:hint="default" w:ascii="Times New Roman" w:hAnsi="Times New Roman" w:eastAsia="仿宋_GB2312" w:cs="Times New Roman"/>
          <w:color w:val="auto"/>
          <w:kern w:val="0"/>
          <w:sz w:val="32"/>
          <w:szCs w:val="32"/>
          <w:highlight w:val="none"/>
        </w:rPr>
        <w:t>能源利用、资源利用、基础设施、产业、生态环境、运行管理等方面</w:t>
      </w:r>
      <w:r>
        <w:rPr>
          <w:rFonts w:hint="default" w:ascii="Times New Roman" w:hAnsi="Times New Roman" w:eastAsia="仿宋_GB2312" w:cs="Times New Roman"/>
          <w:color w:val="auto"/>
          <w:kern w:val="0"/>
          <w:sz w:val="32"/>
          <w:szCs w:val="32"/>
          <w:highlight w:val="none"/>
          <w:lang w:val="en-US" w:eastAsia="zh-CN"/>
        </w:rPr>
        <w:t>的内容进行情况描述。</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1.基本要求的符合性。说明园区对</w:t>
      </w:r>
      <w:r>
        <w:rPr>
          <w:rFonts w:hint="default" w:ascii="Times New Roman" w:hAnsi="Times New Roman" w:eastAsia="仿宋_GB2312" w:cs="Times New Roman"/>
          <w:color w:val="auto"/>
          <w:kern w:val="0"/>
          <w:sz w:val="32"/>
          <w:szCs w:val="32"/>
          <w:highlight w:val="none"/>
        </w:rPr>
        <w:t>《绿色园区评价要求》</w:t>
      </w:r>
      <w:r>
        <w:rPr>
          <w:rFonts w:hint="default" w:ascii="Times New Roman" w:hAnsi="Times New Roman" w:eastAsia="仿宋_GB2312" w:cs="Times New Roman"/>
          <w:color w:val="auto"/>
          <w:kern w:val="0"/>
          <w:sz w:val="32"/>
          <w:szCs w:val="32"/>
          <w:highlight w:val="none"/>
          <w:lang w:val="en-US" w:eastAsia="zh-CN"/>
        </w:rPr>
        <w:t>中基本要求的符合性情况。</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t>2.</w:t>
      </w:r>
      <w:r>
        <w:rPr>
          <w:rFonts w:hint="default" w:ascii="Times New Roman" w:hAnsi="Times New Roman" w:eastAsia="仿宋_GB2312" w:cs="Times New Roman"/>
          <w:color w:val="auto"/>
          <w:kern w:val="0"/>
          <w:sz w:val="32"/>
          <w:szCs w:val="32"/>
          <w:highlight w:val="none"/>
        </w:rPr>
        <w:t>能源利用</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主要描述园区能源利用的情况，已采用的先进能源利用</w:t>
      </w:r>
      <w:r>
        <w:rPr>
          <w:rFonts w:hint="default" w:ascii="Times New Roman" w:hAnsi="Times New Roman" w:eastAsia="仿宋_GB2312" w:cs="Times New Roman"/>
          <w:color w:val="auto"/>
          <w:kern w:val="0"/>
          <w:sz w:val="32"/>
          <w:szCs w:val="32"/>
          <w:highlight w:val="none"/>
        </w:rPr>
        <w:t>技术说明，实施情况和现场照片，以及相关</w:t>
      </w:r>
      <w:r>
        <w:rPr>
          <w:rFonts w:hint="default" w:ascii="Times New Roman" w:hAnsi="Times New Roman" w:eastAsia="仿宋_GB2312" w:cs="Times New Roman"/>
          <w:color w:val="auto"/>
          <w:kern w:val="0"/>
          <w:sz w:val="32"/>
          <w:szCs w:val="32"/>
          <w:highlight w:val="none"/>
          <w:lang w:val="en-US" w:eastAsia="zh-CN"/>
        </w:rPr>
        <w:t>指标得分</w:t>
      </w:r>
      <w:r>
        <w:rPr>
          <w:rFonts w:hint="default" w:ascii="Times New Roman" w:hAnsi="Times New Roman" w:eastAsia="仿宋_GB2312" w:cs="Times New Roman"/>
          <w:color w:val="auto"/>
          <w:kern w:val="0"/>
          <w:sz w:val="32"/>
          <w:szCs w:val="32"/>
          <w:highlight w:val="none"/>
        </w:rPr>
        <w:t>情况。</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lang w:val="en-US" w:eastAsia="zh-CN"/>
        </w:rPr>
        <w:t>3.</w:t>
      </w:r>
      <w:r>
        <w:rPr>
          <w:rFonts w:hint="default" w:ascii="Times New Roman" w:hAnsi="Times New Roman" w:eastAsia="仿宋_GB2312" w:cs="Times New Roman"/>
          <w:color w:val="auto"/>
          <w:kern w:val="0"/>
          <w:sz w:val="32"/>
          <w:szCs w:val="32"/>
          <w:highlight w:val="none"/>
        </w:rPr>
        <w:t>资源利用</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主要描述园区资源利用的情况，已采用的先进资源利用</w:t>
      </w:r>
      <w:r>
        <w:rPr>
          <w:rFonts w:hint="default" w:ascii="Times New Roman" w:hAnsi="Times New Roman" w:eastAsia="仿宋_GB2312" w:cs="Times New Roman"/>
          <w:color w:val="auto"/>
          <w:kern w:val="0"/>
          <w:sz w:val="32"/>
          <w:szCs w:val="32"/>
          <w:highlight w:val="none"/>
        </w:rPr>
        <w:t>技术说明，实施情况和现场照片，以及相关</w:t>
      </w:r>
      <w:r>
        <w:rPr>
          <w:rFonts w:hint="default" w:ascii="Times New Roman" w:hAnsi="Times New Roman" w:eastAsia="仿宋_GB2312" w:cs="Times New Roman"/>
          <w:color w:val="auto"/>
          <w:kern w:val="0"/>
          <w:sz w:val="32"/>
          <w:szCs w:val="32"/>
          <w:highlight w:val="none"/>
          <w:lang w:val="en-US" w:eastAsia="zh-CN"/>
        </w:rPr>
        <w:t>指标得分</w:t>
      </w:r>
      <w:r>
        <w:rPr>
          <w:rFonts w:hint="default" w:ascii="Times New Roman" w:hAnsi="Times New Roman" w:eastAsia="仿宋_GB2312" w:cs="Times New Roman"/>
          <w:color w:val="auto"/>
          <w:kern w:val="0"/>
          <w:sz w:val="32"/>
          <w:szCs w:val="32"/>
          <w:highlight w:val="none"/>
        </w:rPr>
        <w:t>情况。</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lang w:val="en-US" w:eastAsia="zh-CN"/>
        </w:rPr>
        <w:t>4.</w:t>
      </w:r>
      <w:r>
        <w:rPr>
          <w:rFonts w:hint="default" w:ascii="Times New Roman" w:hAnsi="Times New Roman" w:eastAsia="仿宋_GB2312" w:cs="Times New Roman"/>
          <w:color w:val="auto"/>
          <w:kern w:val="0"/>
          <w:sz w:val="32"/>
          <w:szCs w:val="32"/>
          <w:highlight w:val="none"/>
        </w:rPr>
        <w:t>基础设施</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主要描述园区基础设施情况，已采用的先进基础设施</w:t>
      </w:r>
      <w:r>
        <w:rPr>
          <w:rFonts w:hint="default" w:ascii="Times New Roman" w:hAnsi="Times New Roman" w:eastAsia="仿宋_GB2312" w:cs="Times New Roman"/>
          <w:color w:val="auto"/>
          <w:kern w:val="0"/>
          <w:sz w:val="32"/>
          <w:szCs w:val="32"/>
          <w:highlight w:val="none"/>
        </w:rPr>
        <w:t>技术说明，实施情况和现场照片，以及相关</w:t>
      </w:r>
      <w:r>
        <w:rPr>
          <w:rFonts w:hint="default" w:ascii="Times New Roman" w:hAnsi="Times New Roman" w:eastAsia="仿宋_GB2312" w:cs="Times New Roman"/>
          <w:color w:val="auto"/>
          <w:kern w:val="0"/>
          <w:sz w:val="32"/>
          <w:szCs w:val="32"/>
          <w:highlight w:val="none"/>
          <w:lang w:val="en-US" w:eastAsia="zh-CN"/>
        </w:rPr>
        <w:t>指标得分</w:t>
      </w:r>
      <w:r>
        <w:rPr>
          <w:rFonts w:hint="default" w:ascii="Times New Roman" w:hAnsi="Times New Roman" w:eastAsia="仿宋_GB2312" w:cs="Times New Roman"/>
          <w:color w:val="auto"/>
          <w:kern w:val="0"/>
          <w:sz w:val="32"/>
          <w:szCs w:val="32"/>
          <w:highlight w:val="none"/>
        </w:rPr>
        <w:t>情况。</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lang w:val="en-US" w:eastAsia="zh-CN"/>
        </w:rPr>
        <w:t>5.</w:t>
      </w:r>
      <w:r>
        <w:rPr>
          <w:rFonts w:hint="default" w:ascii="Times New Roman" w:hAnsi="Times New Roman" w:eastAsia="仿宋_GB2312" w:cs="Times New Roman"/>
          <w:color w:val="auto"/>
          <w:kern w:val="0"/>
          <w:sz w:val="32"/>
          <w:szCs w:val="32"/>
          <w:highlight w:val="none"/>
        </w:rPr>
        <w:t>产业</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主要描述园区产业结构情况，促进产业结构绿色转型升级采取的措施</w:t>
      </w:r>
      <w:r>
        <w:rPr>
          <w:rFonts w:hint="default" w:ascii="Times New Roman" w:hAnsi="Times New Roman" w:eastAsia="仿宋_GB2312" w:cs="Times New Roman"/>
          <w:color w:val="auto"/>
          <w:kern w:val="0"/>
          <w:sz w:val="32"/>
          <w:szCs w:val="32"/>
          <w:highlight w:val="none"/>
        </w:rPr>
        <w:t>说明</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以及相关</w:t>
      </w:r>
      <w:r>
        <w:rPr>
          <w:rFonts w:hint="default" w:ascii="Times New Roman" w:hAnsi="Times New Roman" w:eastAsia="仿宋_GB2312" w:cs="Times New Roman"/>
          <w:color w:val="auto"/>
          <w:kern w:val="0"/>
          <w:sz w:val="32"/>
          <w:szCs w:val="32"/>
          <w:highlight w:val="none"/>
          <w:lang w:val="en-US" w:eastAsia="zh-CN"/>
        </w:rPr>
        <w:t>指标得分</w:t>
      </w:r>
      <w:r>
        <w:rPr>
          <w:rFonts w:hint="default" w:ascii="Times New Roman" w:hAnsi="Times New Roman" w:eastAsia="仿宋_GB2312" w:cs="Times New Roman"/>
          <w:color w:val="auto"/>
          <w:kern w:val="0"/>
          <w:sz w:val="32"/>
          <w:szCs w:val="32"/>
          <w:highlight w:val="none"/>
        </w:rPr>
        <w:t>情况。</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lang w:val="en-US" w:eastAsia="zh-CN"/>
        </w:rPr>
        <w:t>6.</w:t>
      </w:r>
      <w:r>
        <w:rPr>
          <w:rFonts w:hint="default" w:ascii="Times New Roman" w:hAnsi="Times New Roman" w:eastAsia="仿宋_GB2312" w:cs="Times New Roman"/>
          <w:color w:val="auto"/>
          <w:kern w:val="0"/>
          <w:sz w:val="32"/>
          <w:szCs w:val="32"/>
          <w:highlight w:val="none"/>
        </w:rPr>
        <w:t>生态环境</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主要描述园区生态环境情况，已采用的先进环境保护</w:t>
      </w:r>
      <w:r>
        <w:rPr>
          <w:rFonts w:hint="default" w:ascii="Times New Roman" w:hAnsi="Times New Roman" w:eastAsia="仿宋_GB2312" w:cs="Times New Roman"/>
          <w:color w:val="auto"/>
          <w:kern w:val="0"/>
          <w:sz w:val="32"/>
          <w:szCs w:val="32"/>
          <w:highlight w:val="none"/>
        </w:rPr>
        <w:t>技术说明，实施情况和现场照片，以及相关</w:t>
      </w:r>
      <w:r>
        <w:rPr>
          <w:rFonts w:hint="default" w:ascii="Times New Roman" w:hAnsi="Times New Roman" w:eastAsia="仿宋_GB2312" w:cs="Times New Roman"/>
          <w:color w:val="auto"/>
          <w:kern w:val="0"/>
          <w:sz w:val="32"/>
          <w:szCs w:val="32"/>
          <w:highlight w:val="none"/>
          <w:lang w:val="en-US" w:eastAsia="zh-CN"/>
        </w:rPr>
        <w:t>指标得分</w:t>
      </w:r>
      <w:r>
        <w:rPr>
          <w:rFonts w:hint="default" w:ascii="Times New Roman" w:hAnsi="Times New Roman" w:eastAsia="仿宋_GB2312" w:cs="Times New Roman"/>
          <w:color w:val="auto"/>
          <w:kern w:val="0"/>
          <w:sz w:val="32"/>
          <w:szCs w:val="32"/>
          <w:highlight w:val="none"/>
        </w:rPr>
        <w:t>情况。</w:t>
      </w:r>
    </w:p>
    <w:p>
      <w:pPr>
        <w:numPr>
          <w:ilvl w:val="0"/>
          <w:numId w:val="0"/>
        </w:numPr>
        <w:spacing w:line="360" w:lineRule="auto"/>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7.</w:t>
      </w:r>
      <w:r>
        <w:rPr>
          <w:rFonts w:hint="default" w:ascii="Times New Roman" w:hAnsi="Times New Roman" w:eastAsia="仿宋_GB2312" w:cs="Times New Roman"/>
          <w:color w:val="auto"/>
          <w:kern w:val="0"/>
          <w:sz w:val="32"/>
          <w:szCs w:val="32"/>
          <w:highlight w:val="none"/>
        </w:rPr>
        <w:t>运行管理</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主要描述园区</w:t>
      </w:r>
      <w:r>
        <w:rPr>
          <w:rFonts w:hint="default" w:ascii="Times New Roman" w:hAnsi="Times New Roman" w:eastAsia="仿宋_GB2312" w:cs="Times New Roman"/>
          <w:color w:val="auto"/>
          <w:kern w:val="0"/>
          <w:sz w:val="32"/>
          <w:szCs w:val="32"/>
          <w:highlight w:val="none"/>
        </w:rPr>
        <w:t>运行管理</w:t>
      </w:r>
      <w:r>
        <w:rPr>
          <w:rFonts w:hint="default" w:ascii="Times New Roman" w:hAnsi="Times New Roman" w:eastAsia="仿宋_GB2312" w:cs="Times New Roman"/>
          <w:color w:val="auto"/>
          <w:kern w:val="0"/>
          <w:sz w:val="32"/>
          <w:szCs w:val="32"/>
          <w:highlight w:val="none"/>
          <w:lang w:val="en-US" w:eastAsia="zh-CN"/>
        </w:rPr>
        <w:t>情况，已采用的先进</w:t>
      </w:r>
      <w:r>
        <w:rPr>
          <w:rFonts w:hint="default" w:ascii="Times New Roman" w:hAnsi="Times New Roman" w:eastAsia="仿宋_GB2312" w:cs="Times New Roman"/>
          <w:color w:val="auto"/>
          <w:kern w:val="0"/>
          <w:sz w:val="32"/>
          <w:szCs w:val="32"/>
          <w:highlight w:val="none"/>
        </w:rPr>
        <w:t>运行管理</w:t>
      </w:r>
      <w:r>
        <w:rPr>
          <w:rFonts w:hint="default" w:ascii="Times New Roman" w:hAnsi="Times New Roman" w:eastAsia="仿宋_GB2312" w:cs="Times New Roman"/>
          <w:color w:val="auto"/>
          <w:kern w:val="0"/>
          <w:sz w:val="32"/>
          <w:szCs w:val="32"/>
          <w:highlight w:val="none"/>
          <w:lang w:eastAsia="zh-CN"/>
        </w:rPr>
        <w:t>手段</w:t>
      </w:r>
      <w:r>
        <w:rPr>
          <w:rFonts w:hint="default" w:ascii="Times New Roman" w:hAnsi="Times New Roman" w:eastAsia="仿宋_GB2312" w:cs="Times New Roman"/>
          <w:color w:val="auto"/>
          <w:kern w:val="0"/>
          <w:sz w:val="32"/>
          <w:szCs w:val="32"/>
          <w:highlight w:val="none"/>
        </w:rPr>
        <w:t>说明，实施情况和现场照片，以及相关</w:t>
      </w:r>
      <w:r>
        <w:rPr>
          <w:rFonts w:hint="default" w:ascii="Times New Roman" w:hAnsi="Times New Roman" w:eastAsia="仿宋_GB2312" w:cs="Times New Roman"/>
          <w:color w:val="auto"/>
          <w:kern w:val="0"/>
          <w:sz w:val="32"/>
          <w:szCs w:val="32"/>
          <w:highlight w:val="none"/>
          <w:lang w:val="en-US" w:eastAsia="zh-CN"/>
        </w:rPr>
        <w:t>指标得分</w:t>
      </w:r>
      <w:r>
        <w:rPr>
          <w:rFonts w:hint="default" w:ascii="Times New Roman" w:hAnsi="Times New Roman" w:eastAsia="仿宋_GB2312" w:cs="Times New Roman"/>
          <w:color w:val="auto"/>
          <w:kern w:val="0"/>
          <w:sz w:val="32"/>
          <w:szCs w:val="32"/>
          <w:highlight w:val="none"/>
        </w:rPr>
        <w:t>情况。</w:t>
      </w:r>
    </w:p>
    <w:p>
      <w:pPr>
        <w:numPr>
          <w:ilvl w:val="0"/>
          <w:numId w:val="0"/>
        </w:numPr>
        <w:spacing w:line="360" w:lineRule="auto"/>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kern w:val="2"/>
          <w:sz w:val="32"/>
          <w:szCs w:val="32"/>
          <w:highlight w:val="none"/>
          <w:lang w:val="en-US" w:eastAsia="zh-CN"/>
        </w:rPr>
        <w:t>三、评价结果</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364"/>
        <w:gridCol w:w="1390"/>
        <w:gridCol w:w="2011"/>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95" w:type="dxa"/>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基本要求</w:t>
            </w:r>
          </w:p>
        </w:tc>
        <w:tc>
          <w:tcPr>
            <w:tcW w:w="2754" w:type="dxa"/>
            <w:gridSpan w:val="2"/>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华文中宋" w:cs="Times New Roman"/>
                <w:color w:val="auto"/>
                <w:sz w:val="24"/>
                <w:szCs w:val="24"/>
                <w:highlight w:val="none"/>
              </w:rPr>
              <w:t>□</w:t>
            </w:r>
            <w:r>
              <w:rPr>
                <w:rFonts w:hint="default" w:ascii="Times New Roman" w:hAnsi="Times New Roman" w:eastAsia="仿宋_GB2312" w:cs="Times New Roman"/>
                <w:color w:val="auto"/>
                <w:sz w:val="24"/>
                <w:szCs w:val="24"/>
                <w:highlight w:val="none"/>
              </w:rPr>
              <w:t xml:space="preserve">符合  </w:t>
            </w:r>
            <w:r>
              <w:rPr>
                <w:rFonts w:hint="default" w:ascii="Times New Roman" w:hAnsi="Times New Roman" w:eastAsia="华文中宋" w:cs="Times New Roman"/>
                <w:color w:val="auto"/>
                <w:sz w:val="24"/>
                <w:szCs w:val="24"/>
                <w:highlight w:val="none"/>
              </w:rPr>
              <w:t>□</w:t>
            </w:r>
            <w:r>
              <w:rPr>
                <w:rFonts w:hint="default" w:ascii="Times New Roman" w:hAnsi="Times New Roman" w:eastAsia="仿宋_GB2312" w:cs="Times New Roman"/>
                <w:color w:val="auto"/>
                <w:sz w:val="24"/>
                <w:szCs w:val="24"/>
                <w:highlight w:val="none"/>
              </w:rPr>
              <w:t>不符合</w:t>
            </w:r>
          </w:p>
        </w:tc>
        <w:tc>
          <w:tcPr>
            <w:tcW w:w="2011" w:type="dxa"/>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近三年平均得分</w:t>
            </w:r>
          </w:p>
        </w:tc>
        <w:tc>
          <w:tcPr>
            <w:tcW w:w="1574" w:type="dxa"/>
            <w:noWrap w:val="0"/>
            <w:vAlign w:val="center"/>
          </w:tcPr>
          <w:p>
            <w:pPr>
              <w:spacing w:line="360" w:lineRule="auto"/>
              <w:jc w:val="center"/>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95" w:type="dxa"/>
            <w:vMerge w:val="restart"/>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近三年得分</w:t>
            </w:r>
          </w:p>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情况</w:t>
            </w:r>
          </w:p>
        </w:tc>
        <w:tc>
          <w:tcPr>
            <w:tcW w:w="1364" w:type="dxa"/>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第1年</w:t>
            </w:r>
          </w:p>
        </w:tc>
        <w:tc>
          <w:tcPr>
            <w:tcW w:w="4975" w:type="dxa"/>
            <w:gridSpan w:val="3"/>
            <w:noWrap w:val="0"/>
            <w:vAlign w:val="center"/>
          </w:tcPr>
          <w:p>
            <w:pPr>
              <w:spacing w:line="360" w:lineRule="auto"/>
              <w:jc w:val="center"/>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95" w:type="dxa"/>
            <w:vMerge w:val="continue"/>
            <w:noWrap w:val="0"/>
            <w:vAlign w:val="center"/>
          </w:tcPr>
          <w:p>
            <w:pPr>
              <w:spacing w:line="360" w:lineRule="auto"/>
              <w:jc w:val="center"/>
              <w:rPr>
                <w:rFonts w:hint="default" w:ascii="Times New Roman" w:hAnsi="Times New Roman" w:eastAsia="仿宋_GB2312" w:cs="Times New Roman"/>
                <w:color w:val="auto"/>
                <w:sz w:val="24"/>
                <w:szCs w:val="24"/>
                <w:highlight w:val="none"/>
              </w:rPr>
            </w:pPr>
          </w:p>
        </w:tc>
        <w:tc>
          <w:tcPr>
            <w:tcW w:w="1364" w:type="dxa"/>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第2年</w:t>
            </w:r>
          </w:p>
        </w:tc>
        <w:tc>
          <w:tcPr>
            <w:tcW w:w="4975" w:type="dxa"/>
            <w:gridSpan w:val="3"/>
            <w:noWrap w:val="0"/>
            <w:vAlign w:val="center"/>
          </w:tcPr>
          <w:p>
            <w:pPr>
              <w:spacing w:line="360" w:lineRule="auto"/>
              <w:jc w:val="center"/>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95" w:type="dxa"/>
            <w:vMerge w:val="continue"/>
            <w:noWrap w:val="0"/>
            <w:vAlign w:val="center"/>
          </w:tcPr>
          <w:p>
            <w:pPr>
              <w:spacing w:line="360" w:lineRule="auto"/>
              <w:jc w:val="center"/>
              <w:rPr>
                <w:rFonts w:hint="default" w:ascii="Times New Roman" w:hAnsi="Times New Roman" w:eastAsia="仿宋_GB2312" w:cs="Times New Roman"/>
                <w:color w:val="auto"/>
                <w:sz w:val="24"/>
                <w:szCs w:val="24"/>
                <w:highlight w:val="none"/>
              </w:rPr>
            </w:pPr>
          </w:p>
        </w:tc>
        <w:tc>
          <w:tcPr>
            <w:tcW w:w="1364" w:type="dxa"/>
            <w:noWrap w:val="0"/>
            <w:vAlign w:val="center"/>
          </w:tcPr>
          <w:p>
            <w:pPr>
              <w:spacing w:line="360" w:lineRule="auto"/>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第3年</w:t>
            </w:r>
          </w:p>
        </w:tc>
        <w:tc>
          <w:tcPr>
            <w:tcW w:w="4975" w:type="dxa"/>
            <w:gridSpan w:val="3"/>
            <w:noWrap w:val="0"/>
            <w:vAlign w:val="center"/>
          </w:tcPr>
          <w:p>
            <w:pPr>
              <w:spacing w:line="360" w:lineRule="auto"/>
              <w:jc w:val="center"/>
              <w:rPr>
                <w:rFonts w:hint="default" w:ascii="Times New Roman" w:hAnsi="Times New Roman" w:eastAsia="仿宋_GB2312" w:cs="Times New Roman"/>
                <w:color w:val="auto"/>
                <w:sz w:val="24"/>
                <w:szCs w:val="24"/>
                <w:highlight w:val="none"/>
              </w:rPr>
            </w:pPr>
          </w:p>
        </w:tc>
      </w:tr>
    </w:tbl>
    <w:p>
      <w:pPr>
        <w:bidi w:val="0"/>
        <w:rPr>
          <w:rFonts w:hint="default" w:ascii="Times New Roman" w:hAnsi="Times New Roman" w:cs="Times New Roman"/>
          <w:color w:val="auto"/>
          <w:highlight w:val="none"/>
        </w:rPr>
      </w:pPr>
    </w:p>
    <w:p>
      <w:pPr>
        <w:numPr>
          <w:ilvl w:val="0"/>
          <w:numId w:val="0"/>
        </w:numPr>
        <w:spacing w:line="360" w:lineRule="auto"/>
        <w:ind w:firstLine="640" w:firstLineChars="200"/>
        <w:jc w:val="left"/>
        <w:rPr>
          <w:rFonts w:hint="default" w:ascii="Times New Roman" w:hAnsi="Times New Roman" w:eastAsia="黑体" w:cs="Times New Roman"/>
          <w:bCs/>
          <w:color w:val="auto"/>
          <w:kern w:val="2"/>
          <w:sz w:val="32"/>
          <w:szCs w:val="32"/>
          <w:highlight w:val="none"/>
          <w:lang w:val="en-US" w:eastAsia="zh-CN"/>
        </w:rPr>
      </w:pPr>
      <w:r>
        <w:rPr>
          <w:rFonts w:hint="default" w:ascii="Times New Roman" w:hAnsi="Times New Roman" w:eastAsia="黑体" w:cs="Times New Roman"/>
          <w:bCs/>
          <w:color w:val="auto"/>
          <w:kern w:val="2"/>
          <w:sz w:val="32"/>
          <w:szCs w:val="32"/>
          <w:highlight w:val="none"/>
          <w:lang w:val="en-US" w:eastAsia="zh-CN"/>
        </w:rPr>
        <w:t>四、下一步工作</w:t>
      </w:r>
    </w:p>
    <w:p>
      <w:pPr>
        <w:pStyle w:val="6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说明园区未来的发展目标，持续推进绿色工业园区建设方面拟开展的重点工作，拟实施的重大项目情况等。</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1.绿色工业园区创建目标。主要描述各项指标在两年后（2025年)的预期目标。</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2.绿色工业园区创建重点工作。主要描述园区在近三年年为持续提升绿色园区水平开展的重点工作任务情况。</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3.减碳工作。主要描述园区在减少碳排放方面的工作计划和减排目标。例如，建立碳排放管理体系，建立健全碳排放核算计量体系，制定专项降碳工作方案，碳减排技术应用、发展低碳产业等。</w:t>
      </w:r>
    </w:p>
    <w:p>
      <w:pPr>
        <w:pStyle w:val="6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4.重点项目情况。填写近几年园区拟建设的绿色低碳升级改造重点项目汇总表，测算项目节能、节水、节材、减排、降碳和资源综合利用绩效。</w:t>
      </w:r>
    </w:p>
    <w:p>
      <w:pPr>
        <w:pStyle w:val="6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3" w:firstLineChars="200"/>
        <w:jc w:val="center"/>
        <w:textAlignment w:val="auto"/>
        <w:outlineLvl w:val="9"/>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b/>
          <w:bCs/>
          <w:color w:val="auto"/>
          <w:kern w:val="0"/>
          <w:sz w:val="32"/>
          <w:szCs w:val="32"/>
          <w:highlight w:val="none"/>
          <w:lang w:val="en-US" w:eastAsia="zh-CN" w:bidi="ar-SA"/>
        </w:rPr>
        <w:t>表xx 绿色低碳升级改造重点重点项目汇总表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579"/>
        <w:gridCol w:w="1828"/>
        <w:gridCol w:w="1419"/>
        <w:gridCol w:w="141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r>
              <w:rPr>
                <w:rFonts w:hint="default" w:ascii="Times New Roman" w:hAnsi="Times New Roman" w:eastAsia="仿宋_GB2312" w:cs="Times New Roman"/>
                <w:color w:val="auto"/>
                <w:kern w:val="0"/>
                <w:sz w:val="28"/>
                <w:szCs w:val="28"/>
                <w:highlight w:val="none"/>
                <w:lang w:val="en-US" w:eastAsia="zh-CN" w:bidi="ar-SA"/>
              </w:rPr>
              <w:t>序号</w:t>
            </w: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r>
              <w:rPr>
                <w:rFonts w:hint="default" w:ascii="Times New Roman" w:hAnsi="Times New Roman" w:eastAsia="仿宋_GB2312" w:cs="Times New Roman"/>
                <w:color w:val="auto"/>
                <w:kern w:val="0"/>
                <w:sz w:val="28"/>
                <w:szCs w:val="28"/>
                <w:highlight w:val="none"/>
                <w:lang w:val="en-US" w:eastAsia="zh-CN" w:bidi="ar-SA"/>
              </w:rPr>
              <w:t>项目名称</w:t>
            </w:r>
          </w:p>
        </w:tc>
        <w:tc>
          <w:tcPr>
            <w:tcW w:w="193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r>
              <w:rPr>
                <w:rFonts w:hint="default" w:ascii="Times New Roman" w:hAnsi="Times New Roman" w:eastAsia="仿宋_GB2312" w:cs="Times New Roman"/>
                <w:color w:val="auto"/>
                <w:kern w:val="0"/>
                <w:sz w:val="28"/>
                <w:szCs w:val="28"/>
                <w:highlight w:val="none"/>
                <w:lang w:val="en-US" w:eastAsia="zh-CN" w:bidi="ar-SA"/>
              </w:rPr>
              <w:t>项目内容</w:t>
            </w: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r>
              <w:rPr>
                <w:rFonts w:hint="default" w:ascii="Times New Roman" w:hAnsi="Times New Roman" w:eastAsia="仿宋_GB2312" w:cs="Times New Roman"/>
                <w:color w:val="auto"/>
                <w:kern w:val="0"/>
                <w:sz w:val="28"/>
                <w:szCs w:val="28"/>
                <w:highlight w:val="none"/>
                <w:lang w:val="en-US" w:eastAsia="zh-CN" w:bidi="ar-SA"/>
              </w:rPr>
              <w:t>项目建设期限</w:t>
            </w: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r>
              <w:rPr>
                <w:rFonts w:hint="default" w:ascii="Times New Roman" w:hAnsi="Times New Roman" w:eastAsia="仿宋_GB2312" w:cs="Times New Roman"/>
                <w:color w:val="auto"/>
                <w:kern w:val="0"/>
                <w:sz w:val="28"/>
                <w:szCs w:val="28"/>
                <w:highlight w:val="none"/>
                <w:lang w:val="en-US" w:eastAsia="zh-CN" w:bidi="ar-SA"/>
              </w:rPr>
              <w:t>项目投资估算</w:t>
            </w: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r>
              <w:rPr>
                <w:rFonts w:hint="default" w:ascii="Times New Roman" w:hAnsi="Times New Roman" w:eastAsia="仿宋_GB2312" w:cs="Times New Roman"/>
                <w:color w:val="auto"/>
                <w:kern w:val="0"/>
                <w:sz w:val="28"/>
                <w:szCs w:val="28"/>
                <w:highlight w:val="none"/>
                <w:lang w:val="en-US" w:eastAsia="zh-CN" w:bidi="ar-SA"/>
              </w:rPr>
              <w:t>项目效益分析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93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93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93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c>
          <w:tcPr>
            <w:tcW w:w="149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0"/>
                <w:sz w:val="28"/>
                <w:szCs w:val="28"/>
                <w:highlight w:val="none"/>
                <w:lang w:val="en-US" w:eastAsia="zh-CN" w:bidi="ar-SA"/>
              </w:rPr>
            </w:pPr>
          </w:p>
        </w:tc>
      </w:tr>
    </w:tbl>
    <w:p>
      <w:pPr>
        <w:bidi w:val="0"/>
        <w:rPr>
          <w:rFonts w:hint="default" w:ascii="Times New Roman" w:hAnsi="Times New Roman" w:cs="Times New Roman"/>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lang w:val="en-US" w:eastAsia="zh-CN"/>
        </w:rPr>
        <w:t>五、</w:t>
      </w:r>
      <w:r>
        <w:rPr>
          <w:rFonts w:hint="default" w:ascii="Times New Roman" w:hAnsi="Times New Roman" w:eastAsia="黑体" w:cs="Times New Roman"/>
          <w:bCs/>
          <w:color w:val="auto"/>
          <w:sz w:val="32"/>
          <w:szCs w:val="32"/>
          <w:highlight w:val="none"/>
        </w:rPr>
        <w:t>绿色</w:t>
      </w:r>
      <w:r>
        <w:rPr>
          <w:rFonts w:hint="default" w:ascii="Times New Roman" w:hAnsi="Times New Roman" w:eastAsia="黑体" w:cs="Times New Roman"/>
          <w:bCs/>
          <w:color w:val="auto"/>
          <w:sz w:val="32"/>
          <w:szCs w:val="32"/>
          <w:highlight w:val="none"/>
          <w:lang w:val="en-US" w:eastAsia="zh-CN"/>
        </w:rPr>
        <w:t>工业园区</w:t>
      </w:r>
      <w:r>
        <w:rPr>
          <w:rFonts w:hint="default" w:ascii="Times New Roman" w:hAnsi="Times New Roman" w:eastAsia="黑体" w:cs="Times New Roman"/>
          <w:bCs/>
          <w:color w:val="auto"/>
          <w:sz w:val="32"/>
          <w:szCs w:val="32"/>
          <w:highlight w:val="none"/>
        </w:rPr>
        <w:t>创建自评表</w:t>
      </w:r>
    </w:p>
    <w:p>
      <w:pPr>
        <w:pStyle w:val="6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jc w:val="both"/>
        <w:textAlignment w:val="auto"/>
        <w:outlineLvl w:val="9"/>
        <w:rPr>
          <w:rFonts w:hint="default" w:ascii="Times New Roman" w:hAnsi="Times New Roman" w:eastAsia="仿宋" w:cs="Times New Roman"/>
          <w:color w:val="auto"/>
          <w:kern w:val="0"/>
          <w:sz w:val="32"/>
          <w:szCs w:val="32"/>
          <w:highlight w:val="none"/>
        </w:rPr>
      </w:pPr>
      <w:r>
        <w:rPr>
          <w:rFonts w:hint="default" w:ascii="Times New Roman" w:hAnsi="Times New Roman" w:eastAsia="仿宋" w:cs="Times New Roman"/>
          <w:color w:val="auto"/>
          <w:kern w:val="0"/>
          <w:sz w:val="32"/>
          <w:szCs w:val="32"/>
          <w:highlight w:val="none"/>
        </w:rPr>
        <w:t>依据</w:t>
      </w:r>
      <w:r>
        <w:rPr>
          <w:rFonts w:hint="default" w:ascii="Times New Roman" w:hAnsi="Times New Roman" w:eastAsia="仿宋" w:cs="Times New Roman"/>
          <w:color w:val="auto"/>
          <w:kern w:val="0"/>
          <w:sz w:val="32"/>
          <w:szCs w:val="32"/>
          <w:highlight w:val="none"/>
          <w:lang w:val="en-US" w:eastAsia="zh-CN"/>
        </w:rPr>
        <w:t>园区</w:t>
      </w:r>
      <w:r>
        <w:rPr>
          <w:rFonts w:hint="default" w:ascii="Times New Roman" w:hAnsi="Times New Roman" w:eastAsia="仿宋" w:cs="Times New Roman"/>
          <w:color w:val="auto"/>
          <w:kern w:val="0"/>
          <w:sz w:val="32"/>
          <w:szCs w:val="32"/>
          <w:highlight w:val="none"/>
        </w:rPr>
        <w:t>情况和《绿色</w:t>
      </w:r>
      <w:r>
        <w:rPr>
          <w:rFonts w:hint="default" w:ascii="Times New Roman" w:hAnsi="Times New Roman" w:eastAsia="仿宋" w:cs="Times New Roman"/>
          <w:color w:val="auto"/>
          <w:kern w:val="0"/>
          <w:sz w:val="32"/>
          <w:szCs w:val="32"/>
          <w:highlight w:val="none"/>
          <w:lang w:val="en-US" w:eastAsia="zh-CN"/>
        </w:rPr>
        <w:t>园区</w:t>
      </w:r>
      <w:r>
        <w:rPr>
          <w:rFonts w:hint="default" w:ascii="Times New Roman" w:hAnsi="Times New Roman" w:eastAsia="仿宋" w:cs="Times New Roman"/>
          <w:color w:val="auto"/>
          <w:kern w:val="0"/>
          <w:sz w:val="32"/>
          <w:szCs w:val="32"/>
          <w:highlight w:val="none"/>
        </w:rPr>
        <w:t>评价要求》进行</w:t>
      </w:r>
      <w:r>
        <w:rPr>
          <w:rFonts w:hint="default" w:ascii="Times New Roman" w:hAnsi="Times New Roman" w:eastAsia="仿宋" w:cs="Times New Roman"/>
          <w:color w:val="auto"/>
          <w:kern w:val="0"/>
          <w:sz w:val="32"/>
          <w:szCs w:val="32"/>
          <w:highlight w:val="none"/>
          <w:lang w:val="en-US" w:eastAsia="zh-CN"/>
        </w:rPr>
        <w:t>评价</w:t>
      </w:r>
      <w:r>
        <w:rPr>
          <w:rFonts w:hint="default" w:ascii="Times New Roman" w:hAnsi="Times New Roman" w:eastAsia="仿宋" w:cs="Times New Roman"/>
          <w:color w:val="auto"/>
          <w:kern w:val="0"/>
          <w:sz w:val="32"/>
          <w:szCs w:val="32"/>
          <w:highlight w:val="none"/>
        </w:rPr>
        <w:t>，并填写园区基本要求评价表和园区工业指标</w:t>
      </w:r>
      <w:r>
        <w:rPr>
          <w:rFonts w:hint="default" w:ascii="Times New Roman" w:hAnsi="Times New Roman" w:eastAsia="仿宋" w:cs="Times New Roman"/>
          <w:color w:val="auto"/>
          <w:kern w:val="0"/>
          <w:sz w:val="32"/>
          <w:szCs w:val="32"/>
          <w:highlight w:val="none"/>
          <w:lang w:val="en-US" w:eastAsia="zh-CN"/>
        </w:rPr>
        <w:t>评价</w:t>
      </w:r>
      <w:r>
        <w:rPr>
          <w:rFonts w:hint="default" w:ascii="Times New Roman" w:hAnsi="Times New Roman" w:eastAsia="仿宋" w:cs="Times New Roman"/>
          <w:color w:val="auto"/>
          <w:kern w:val="0"/>
          <w:sz w:val="32"/>
          <w:szCs w:val="32"/>
          <w:highlight w:val="none"/>
        </w:rPr>
        <w:t>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lang w:val="en-US" w:eastAsia="zh-CN"/>
        </w:rPr>
        <w:t>六、</w:t>
      </w:r>
      <w:r>
        <w:rPr>
          <w:rFonts w:hint="default" w:ascii="Times New Roman" w:hAnsi="Times New Roman" w:eastAsia="黑体" w:cs="Times New Roman"/>
          <w:bCs/>
          <w:color w:val="auto"/>
          <w:sz w:val="32"/>
          <w:szCs w:val="32"/>
          <w:highlight w:val="none"/>
        </w:rPr>
        <w:t>相关证明材料</w:t>
      </w:r>
    </w:p>
    <w:p>
      <w:pPr>
        <w:spacing w:line="360" w:lineRule="auto"/>
        <w:ind w:firstLine="640" w:firstLineChars="200"/>
        <w:rPr>
          <w:rFonts w:hint="default" w:ascii="Times New Roman" w:hAnsi="Times New Roman" w:eastAsia="仿宋" w:cs="Times New Roman"/>
          <w:bCs w:val="0"/>
          <w:color w:val="auto"/>
          <w:kern w:val="0"/>
          <w:sz w:val="32"/>
          <w:szCs w:val="32"/>
          <w:highlight w:val="none"/>
          <w:lang w:val="en-US" w:eastAsia="zh-CN"/>
        </w:rPr>
      </w:pPr>
      <w:r>
        <w:rPr>
          <w:rFonts w:hint="default" w:ascii="Times New Roman" w:hAnsi="Times New Roman" w:eastAsia="仿宋" w:cs="Times New Roman"/>
          <w:bCs w:val="0"/>
          <w:color w:val="auto"/>
          <w:kern w:val="0"/>
          <w:sz w:val="32"/>
          <w:szCs w:val="32"/>
          <w:highlight w:val="none"/>
          <w:lang w:val="en-US" w:eastAsia="zh-CN"/>
        </w:rPr>
        <w:t>与基本要求和指标测算相关的证明材料。</w:t>
      </w:r>
    </w:p>
    <w:p>
      <w:pPr>
        <w:bidi w:val="0"/>
        <w:rPr>
          <w:rFonts w:hint="default" w:ascii="Times New Roman" w:hAnsi="Times New Roman" w:cs="Times New Roman"/>
          <w:color w:val="auto"/>
          <w:highlight w:val="none"/>
          <w:lang w:val="en-US" w:eastAsia="zh-CN"/>
        </w:rPr>
      </w:pPr>
    </w:p>
    <w:p>
      <w:pPr>
        <w:spacing w:line="360" w:lineRule="auto"/>
        <w:jc w:val="center"/>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rPr>
        <w:t>园区基本要求评价</w:t>
      </w:r>
      <w:r>
        <w:rPr>
          <w:rFonts w:hint="default" w:ascii="Times New Roman" w:hAnsi="Times New Roman" w:eastAsia="黑体" w:cs="Times New Roman"/>
          <w:bCs/>
          <w:color w:val="auto"/>
          <w:sz w:val="32"/>
          <w:szCs w:val="32"/>
          <w:highlight w:val="none"/>
          <w:lang w:val="en-US" w:eastAsia="zh-CN"/>
        </w:rPr>
        <w:t>表</w:t>
      </w:r>
    </w:p>
    <w:p>
      <w:pPr>
        <w:bidi w:val="0"/>
        <w:rPr>
          <w:rFonts w:hint="default" w:ascii="Times New Roman" w:hAnsi="Times New Roman" w:cs="Times New Roman"/>
          <w:color w:val="auto"/>
          <w:highlight w:val="none"/>
        </w:rPr>
      </w:pPr>
    </w:p>
    <w:tbl>
      <w:tblPr>
        <w:tblStyle w:val="3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1417"/>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070" w:type="dxa"/>
            <w:shd w:val="clear" w:color="auto" w:fill="auto"/>
            <w:vAlign w:val="center"/>
          </w:tcPr>
          <w:p>
            <w:pPr>
              <w:adjustRightInd w:val="0"/>
              <w:snapToGrid w:val="0"/>
              <w:spacing w:line="360" w:lineRule="auto"/>
              <w:jc w:val="center"/>
              <w:rPr>
                <w:rFonts w:hint="default" w:ascii="Times New Roman" w:hAnsi="Times New Roman" w:eastAsia="仿宋_GB2312" w:cs="Times New Roman"/>
                <w:b/>
                <w:color w:val="auto"/>
                <w:kern w:val="0"/>
                <w:sz w:val="28"/>
                <w:szCs w:val="28"/>
                <w:highlight w:val="none"/>
              </w:rPr>
            </w:pPr>
            <w:r>
              <w:rPr>
                <w:rFonts w:hint="default" w:ascii="Times New Roman" w:hAnsi="Times New Roman" w:eastAsia="仿宋_GB2312" w:cs="Times New Roman"/>
                <w:b/>
                <w:color w:val="auto"/>
                <w:kern w:val="0"/>
                <w:sz w:val="28"/>
                <w:szCs w:val="28"/>
                <w:highlight w:val="none"/>
              </w:rPr>
              <w:t>基本要求</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b/>
                <w:color w:val="auto"/>
                <w:kern w:val="0"/>
                <w:sz w:val="28"/>
                <w:szCs w:val="28"/>
                <w:highlight w:val="none"/>
              </w:rPr>
            </w:pPr>
            <w:r>
              <w:rPr>
                <w:rFonts w:hint="default" w:ascii="Times New Roman" w:hAnsi="Times New Roman" w:eastAsia="仿宋_GB2312" w:cs="Times New Roman"/>
                <w:b/>
                <w:color w:val="auto"/>
                <w:kern w:val="0"/>
                <w:sz w:val="28"/>
                <w:szCs w:val="28"/>
                <w:highlight w:val="none"/>
              </w:rPr>
              <w:t>是否符合</w:t>
            </w: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b/>
                <w:color w:val="auto"/>
                <w:kern w:val="0"/>
                <w:sz w:val="28"/>
                <w:szCs w:val="28"/>
                <w:highlight w:val="none"/>
              </w:rPr>
            </w:pPr>
            <w:r>
              <w:rPr>
                <w:rFonts w:hint="default" w:ascii="Times New Roman" w:hAnsi="Times New Roman" w:eastAsia="仿宋_GB2312" w:cs="Times New Roman"/>
                <w:b/>
                <w:color w:val="auto"/>
                <w:kern w:val="0"/>
                <w:sz w:val="28"/>
                <w:szCs w:val="28"/>
                <w:highlight w:val="none"/>
              </w:rPr>
              <w:t>证明材料索引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国家和地方绿色、循环和低碳相关法律法规、政策和标准应得到有效的贯彻执行。</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近三年，未发生重大污染事故或重大生态破坏事件，完成国家或地方政府下达的节能减排指标，碳排放强度持续下降。</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环境质量达到国家或地方规定的环境功能区环境质量标准，园区内企业污染物达标排放，各类重点污染物排放总量均不超过国家或地方的总量控制要求。</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园区重点企业100%实施清洁生产审核。</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园区企业不应使用国家列入淘汰目录的落后生产技术、工艺和设备，不应生产国家列入淘汰目录的产品。</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园区建立履行绿色发展工作职责的专门机构、配备2名以上专职工作人员。</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鼓励园区建立并运行环境管理体系和能源管理</w:t>
            </w:r>
          </w:p>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体系，建立园区能源监测管理平台。</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鼓励园区建设并运行风能、太阳能等可再生能</w:t>
            </w:r>
          </w:p>
          <w:p>
            <w:pPr>
              <w:adjustRightInd w:val="0"/>
              <w:snapToGrid w:val="0"/>
              <w:spacing w:line="360" w:lineRule="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源应用设施。</w:t>
            </w:r>
          </w:p>
        </w:tc>
        <w:tc>
          <w:tcPr>
            <w:tcW w:w="1417"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c>
          <w:tcPr>
            <w:tcW w:w="2035" w:type="dxa"/>
            <w:shd w:val="clear" w:color="auto" w:fill="auto"/>
            <w:vAlign w:val="center"/>
          </w:tcPr>
          <w:p>
            <w:pPr>
              <w:adjustRightInd w:val="0"/>
              <w:snapToGrid w:val="0"/>
              <w:spacing w:line="360" w:lineRule="auto"/>
              <w:rPr>
                <w:rFonts w:hint="default" w:ascii="Times New Roman" w:hAnsi="Times New Roman" w:eastAsia="仿宋_GB2312" w:cs="Times New Roman"/>
                <w:color w:val="auto"/>
                <w:kern w:val="0"/>
                <w:sz w:val="24"/>
                <w:szCs w:val="24"/>
                <w:highlight w:val="none"/>
              </w:rPr>
            </w:pPr>
          </w:p>
        </w:tc>
      </w:tr>
    </w:tbl>
    <w:p>
      <w:pPr>
        <w:spacing w:line="360" w:lineRule="auto"/>
        <w:rPr>
          <w:rFonts w:hint="default" w:ascii="Times New Roman" w:hAnsi="Times New Roman" w:eastAsia="方正小标宋简体" w:cs="Times New Roman"/>
          <w:bCs/>
          <w:color w:val="auto"/>
          <w:sz w:val="30"/>
          <w:szCs w:val="30"/>
          <w:highlight w:val="none"/>
        </w:rPr>
        <w:sectPr>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方正小标宋简体" w:cs="Times New Roman"/>
          <w:bCs/>
          <w:color w:val="auto"/>
          <w:sz w:val="30"/>
          <w:szCs w:val="30"/>
          <w:highlight w:val="none"/>
        </w:rPr>
        <w:br w:type="page"/>
      </w:r>
    </w:p>
    <w:p>
      <w:pPr>
        <w:spacing w:line="360" w:lineRule="auto"/>
        <w:jc w:val="center"/>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园区工业指标自评表</w:t>
      </w:r>
    </w:p>
    <w:p>
      <w:pPr>
        <w:spacing w:line="360" w:lineRule="auto"/>
        <w:jc w:val="center"/>
        <w:rPr>
          <w:rFonts w:hint="default" w:ascii="Times New Roman" w:hAnsi="Times New Roman" w:eastAsia="黑体" w:cs="Times New Roman"/>
          <w:bCs/>
          <w:color w:val="auto"/>
          <w:sz w:val="30"/>
          <w:szCs w:val="30"/>
          <w:highlight w:val="none"/>
        </w:rPr>
      </w:pPr>
      <w:r>
        <w:rPr>
          <w:rFonts w:hint="default" w:ascii="Times New Roman" w:hAnsi="Times New Roman" w:eastAsia="黑体" w:cs="Times New Roman"/>
          <w:bCs/>
          <w:color w:val="auto"/>
          <w:sz w:val="30"/>
          <w:szCs w:val="30"/>
          <w:highlight w:val="none"/>
          <w:lang w:val="en-US" w:eastAsia="zh-CN"/>
        </w:rPr>
        <w:t>（XX</w:t>
      </w:r>
      <w:r>
        <w:rPr>
          <w:rFonts w:hint="default" w:ascii="Times New Roman" w:hAnsi="Times New Roman" w:eastAsia="黑体" w:cs="Times New Roman"/>
          <w:bCs/>
          <w:color w:val="auto"/>
          <w:sz w:val="30"/>
          <w:szCs w:val="30"/>
          <w:highlight w:val="none"/>
        </w:rPr>
        <w:t>年</w:t>
      </w:r>
      <w:r>
        <w:rPr>
          <w:rFonts w:hint="default" w:ascii="Times New Roman" w:hAnsi="Times New Roman" w:eastAsia="黑体" w:cs="Times New Roman"/>
          <w:bCs/>
          <w:color w:val="auto"/>
          <w:sz w:val="30"/>
          <w:szCs w:val="30"/>
          <w:highlight w:val="none"/>
          <w:lang w:eastAsia="zh-CN"/>
        </w:rPr>
        <w:t>—</w:t>
      </w:r>
      <w:r>
        <w:rPr>
          <w:rFonts w:hint="default" w:ascii="Times New Roman" w:hAnsi="Times New Roman" w:eastAsia="黑体" w:cs="Times New Roman"/>
          <w:bCs/>
          <w:color w:val="auto"/>
          <w:sz w:val="30"/>
          <w:szCs w:val="30"/>
          <w:highlight w:val="none"/>
          <w:u w:val="none"/>
          <w:lang w:val="en-US" w:eastAsia="zh-CN"/>
        </w:rPr>
        <w:t>XX</w:t>
      </w:r>
      <w:r>
        <w:rPr>
          <w:rFonts w:hint="default" w:ascii="Times New Roman" w:hAnsi="Times New Roman" w:eastAsia="黑体" w:cs="Times New Roman"/>
          <w:bCs/>
          <w:color w:val="auto"/>
          <w:sz w:val="30"/>
          <w:szCs w:val="30"/>
          <w:highlight w:val="none"/>
        </w:rPr>
        <w:t>年园区数据清单</w:t>
      </w:r>
      <w:r>
        <w:rPr>
          <w:rFonts w:hint="default" w:ascii="Times New Roman" w:hAnsi="Times New Roman" w:eastAsia="黑体" w:cs="Times New Roman"/>
          <w:bCs/>
          <w:color w:val="auto"/>
          <w:sz w:val="30"/>
          <w:szCs w:val="30"/>
          <w:highlight w:val="none"/>
          <w:lang w:val="en-US" w:eastAsia="zh-CN"/>
        </w:rPr>
        <w:t>）</w:t>
      </w:r>
    </w:p>
    <w:tbl>
      <w:tblPr>
        <w:tblStyle w:val="37"/>
        <w:tblW w:w="55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331"/>
        <w:gridCol w:w="3051"/>
        <w:gridCol w:w="1804"/>
        <w:gridCol w:w="1940"/>
        <w:gridCol w:w="1997"/>
        <w:gridCol w:w="1914"/>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5" w:type="pct"/>
            <w:shd w:val="clear" w:color="auto" w:fill="auto"/>
            <w:vAlign w:val="center"/>
          </w:tcPr>
          <w:p>
            <w:pPr>
              <w:adjustRightInd w:val="0"/>
              <w:snapToGrid w:val="0"/>
              <w:jc w:val="center"/>
              <w:rPr>
                <w:rFonts w:hint="default" w:ascii="Times New Roman" w:hAnsi="Times New Roman" w:eastAsia="仿宋_GB2312" w:cs="Times New Roman"/>
                <w:b/>
                <w:color w:val="auto"/>
                <w:kern w:val="0"/>
                <w:sz w:val="24"/>
                <w:szCs w:val="24"/>
                <w:highlight w:val="none"/>
              </w:rPr>
            </w:pPr>
            <w:r>
              <w:rPr>
                <w:rFonts w:hint="default" w:ascii="Times New Roman" w:hAnsi="Times New Roman" w:eastAsia="仿宋_GB2312" w:cs="Times New Roman"/>
                <w:b/>
                <w:color w:val="auto"/>
                <w:kern w:val="0"/>
                <w:sz w:val="24"/>
                <w:szCs w:val="24"/>
                <w:highlight w:val="none"/>
              </w:rPr>
              <w:t>一级指标</w:t>
            </w:r>
          </w:p>
        </w:tc>
        <w:tc>
          <w:tcPr>
            <w:tcW w:w="423" w:type="pct"/>
            <w:shd w:val="clear" w:color="auto" w:fill="auto"/>
            <w:vAlign w:val="center"/>
          </w:tcPr>
          <w:p>
            <w:pPr>
              <w:adjustRightInd w:val="0"/>
              <w:snapToGrid w:val="0"/>
              <w:jc w:val="center"/>
              <w:rPr>
                <w:rFonts w:hint="default" w:ascii="Times New Roman" w:hAnsi="Times New Roman" w:eastAsia="仿宋_GB2312" w:cs="Times New Roman"/>
                <w:b/>
                <w:color w:val="auto"/>
                <w:kern w:val="0"/>
                <w:sz w:val="24"/>
                <w:szCs w:val="24"/>
                <w:highlight w:val="none"/>
              </w:rPr>
            </w:pPr>
            <w:r>
              <w:rPr>
                <w:rFonts w:hint="default" w:ascii="Times New Roman" w:hAnsi="Times New Roman" w:eastAsia="仿宋_GB2312" w:cs="Times New Roman"/>
                <w:b/>
                <w:color w:val="auto"/>
                <w:kern w:val="0"/>
                <w:sz w:val="24"/>
                <w:szCs w:val="24"/>
                <w:highlight w:val="none"/>
              </w:rPr>
              <w:t>序号</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b/>
                <w:color w:val="auto"/>
                <w:kern w:val="0"/>
                <w:sz w:val="24"/>
                <w:szCs w:val="24"/>
                <w:highlight w:val="none"/>
              </w:rPr>
            </w:pPr>
            <w:r>
              <w:rPr>
                <w:rFonts w:hint="default" w:ascii="Times New Roman" w:hAnsi="Times New Roman" w:eastAsia="仿宋_GB2312" w:cs="Times New Roman"/>
                <w:b/>
                <w:color w:val="auto"/>
                <w:kern w:val="0"/>
                <w:sz w:val="24"/>
                <w:szCs w:val="24"/>
                <w:highlight w:val="none"/>
              </w:rPr>
              <w:t>二级指标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b/>
                <w:color w:val="auto"/>
                <w:kern w:val="0"/>
                <w:sz w:val="24"/>
                <w:szCs w:val="24"/>
                <w:highlight w:val="none"/>
              </w:rPr>
            </w:pPr>
            <w:r>
              <w:rPr>
                <w:rFonts w:hint="default" w:ascii="Times New Roman" w:hAnsi="Times New Roman" w:eastAsia="仿宋_GB2312" w:cs="Times New Roman"/>
                <w:b/>
                <w:color w:val="auto"/>
                <w:kern w:val="0"/>
                <w:sz w:val="24"/>
                <w:szCs w:val="24"/>
                <w:highlight w:val="none"/>
              </w:rPr>
              <w:t>指标单位</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b/>
                <w:color w:val="auto"/>
                <w:kern w:val="0"/>
                <w:sz w:val="24"/>
                <w:szCs w:val="24"/>
                <w:highlight w:val="none"/>
              </w:rPr>
            </w:pPr>
            <w:r>
              <w:rPr>
                <w:rFonts w:hint="default" w:ascii="Times New Roman" w:hAnsi="Times New Roman" w:eastAsia="仿宋_GB2312" w:cs="Times New Roman"/>
                <w:b/>
                <w:color w:val="auto"/>
                <w:kern w:val="0"/>
                <w:sz w:val="24"/>
                <w:szCs w:val="24"/>
                <w:highlight w:val="none"/>
                <w:lang w:val="en-US" w:eastAsia="zh-CN"/>
              </w:rPr>
              <w:t>XX</w:t>
            </w:r>
            <w:r>
              <w:rPr>
                <w:rFonts w:hint="default" w:ascii="Times New Roman" w:hAnsi="Times New Roman" w:eastAsia="仿宋_GB2312" w:cs="Times New Roman"/>
                <w:b/>
                <w:color w:val="auto"/>
                <w:kern w:val="0"/>
                <w:sz w:val="24"/>
                <w:szCs w:val="24"/>
                <w:highlight w:val="none"/>
              </w:rPr>
              <w:t>年指标数据</w:t>
            </w:r>
          </w:p>
        </w:tc>
        <w:tc>
          <w:tcPr>
            <w:tcW w:w="634" w:type="pct"/>
            <w:shd w:val="clear" w:color="auto" w:fill="auto"/>
            <w:vAlign w:val="center"/>
          </w:tcPr>
          <w:p>
            <w:pPr>
              <w:adjustRightInd w:val="0"/>
              <w:snapToGrid w:val="0"/>
              <w:jc w:val="center"/>
              <w:rPr>
                <w:rFonts w:hint="default" w:ascii="Times New Roman" w:hAnsi="Times New Roman" w:eastAsia="仿宋_GB2312" w:cs="Times New Roman"/>
                <w:b/>
                <w:color w:val="auto"/>
                <w:kern w:val="0"/>
                <w:sz w:val="24"/>
                <w:szCs w:val="24"/>
                <w:highlight w:val="none"/>
              </w:rPr>
            </w:pPr>
            <w:r>
              <w:rPr>
                <w:rFonts w:hint="default" w:ascii="Times New Roman" w:hAnsi="Times New Roman" w:eastAsia="仿宋_GB2312" w:cs="Times New Roman"/>
                <w:b/>
                <w:color w:val="auto"/>
                <w:kern w:val="0"/>
                <w:sz w:val="24"/>
                <w:szCs w:val="24"/>
                <w:highlight w:val="none"/>
                <w:lang w:val="en-US" w:eastAsia="zh-CN"/>
              </w:rPr>
              <w:t>XX</w:t>
            </w:r>
            <w:r>
              <w:rPr>
                <w:rFonts w:hint="default" w:ascii="Times New Roman" w:hAnsi="Times New Roman" w:eastAsia="仿宋_GB2312" w:cs="Times New Roman"/>
                <w:b/>
                <w:color w:val="auto"/>
                <w:kern w:val="0"/>
                <w:sz w:val="24"/>
                <w:szCs w:val="24"/>
                <w:highlight w:val="none"/>
              </w:rPr>
              <w:t>年指标数据</w:t>
            </w:r>
          </w:p>
        </w:tc>
        <w:tc>
          <w:tcPr>
            <w:tcW w:w="608" w:type="pct"/>
            <w:shd w:val="clear" w:color="auto" w:fill="auto"/>
            <w:vAlign w:val="center"/>
          </w:tcPr>
          <w:p>
            <w:pPr>
              <w:adjustRightInd w:val="0"/>
              <w:snapToGrid w:val="0"/>
              <w:jc w:val="center"/>
              <w:rPr>
                <w:rFonts w:hint="default" w:ascii="Times New Roman" w:hAnsi="Times New Roman" w:eastAsia="仿宋_GB2312" w:cs="Times New Roman"/>
                <w:b/>
                <w:color w:val="auto"/>
                <w:kern w:val="0"/>
                <w:sz w:val="24"/>
                <w:szCs w:val="24"/>
                <w:highlight w:val="none"/>
              </w:rPr>
            </w:pPr>
            <w:r>
              <w:rPr>
                <w:rFonts w:hint="default" w:ascii="Times New Roman" w:hAnsi="Times New Roman" w:eastAsia="仿宋_GB2312" w:cs="Times New Roman"/>
                <w:b/>
                <w:color w:val="auto"/>
                <w:kern w:val="0"/>
                <w:sz w:val="24"/>
                <w:szCs w:val="24"/>
                <w:highlight w:val="none"/>
                <w:lang w:val="en-US" w:eastAsia="zh-CN"/>
              </w:rPr>
              <w:t>XX</w:t>
            </w:r>
            <w:r>
              <w:rPr>
                <w:rFonts w:hint="default" w:ascii="Times New Roman" w:hAnsi="Times New Roman" w:eastAsia="仿宋_GB2312" w:cs="Times New Roman"/>
                <w:b/>
                <w:color w:val="auto"/>
                <w:kern w:val="0"/>
                <w:sz w:val="24"/>
                <w:szCs w:val="24"/>
                <w:highlight w:val="none"/>
              </w:rPr>
              <w:t>年指标数据</w:t>
            </w:r>
          </w:p>
        </w:tc>
        <w:tc>
          <w:tcPr>
            <w:tcW w:w="727" w:type="pct"/>
            <w:shd w:val="clear" w:color="auto" w:fill="auto"/>
            <w:vAlign w:val="center"/>
          </w:tcPr>
          <w:p>
            <w:pPr>
              <w:adjustRightInd w:val="0"/>
              <w:snapToGrid w:val="0"/>
              <w:jc w:val="center"/>
              <w:rPr>
                <w:rFonts w:hint="default" w:ascii="Times New Roman" w:hAnsi="Times New Roman" w:eastAsia="仿宋_GB2312" w:cs="Times New Roman"/>
                <w:b/>
                <w:color w:val="auto"/>
                <w:kern w:val="0"/>
                <w:sz w:val="24"/>
                <w:szCs w:val="24"/>
                <w:highlight w:val="none"/>
              </w:rPr>
            </w:pPr>
            <w:r>
              <w:rPr>
                <w:rFonts w:hint="default" w:ascii="Times New Roman" w:hAnsi="Times New Roman" w:eastAsia="仿宋_GB2312" w:cs="Times New Roman"/>
                <w:b/>
                <w:color w:val="auto"/>
                <w:kern w:val="0"/>
                <w:sz w:val="24"/>
                <w:szCs w:val="24"/>
                <w:highlight w:val="none"/>
              </w:rPr>
              <w:t>证明材料索引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能源利用</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绿色化指标</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（EG）</w:t>
            </w: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能源产出率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万元/tce</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可再生能源使用比例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清洁能源使用率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资源利用</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绿色化指标</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(RG)</w:t>
            </w: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水资源产出率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元/m</w:t>
            </w:r>
            <w:r>
              <w:rPr>
                <w:rFonts w:hint="default" w:ascii="Times New Roman" w:hAnsi="Times New Roman" w:eastAsia="仿宋_GB2312" w:cs="Times New Roman"/>
                <w:color w:val="auto"/>
                <w:kern w:val="0"/>
                <w:sz w:val="24"/>
                <w:szCs w:val="24"/>
                <w:highlight w:val="none"/>
                <w:vertAlign w:val="superscript"/>
              </w:rPr>
              <w:t>3</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5</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土地资源产出率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亿元/km</w:t>
            </w:r>
            <w:r>
              <w:rPr>
                <w:rFonts w:hint="default" w:ascii="Times New Roman" w:hAnsi="Times New Roman" w:eastAsia="仿宋_GB2312" w:cs="Times New Roman"/>
                <w:color w:val="auto"/>
                <w:kern w:val="0"/>
                <w:sz w:val="24"/>
                <w:szCs w:val="24"/>
                <w:highlight w:val="none"/>
                <w:vertAlign w:val="superscript"/>
              </w:rPr>
              <w:t>2</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工业固体废弃物综合利用率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工业固废种类</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产生量</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吨</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综合利用量</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吨</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综合利用往年贮存量</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吨</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工业用水重复利用率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中水回用率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余热资源回收利用率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10</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废气资源回收利用率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11</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再生资源回收利用率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再生资源种类</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再生资源循环利用量</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万吨</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再生资源收集量</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万吨</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11-1</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一般工业固体废弃物产生强度</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万吨/万元</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一般工业固体废弃物产生量</w:t>
            </w:r>
          </w:p>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（不含危废）</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万吨</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工业增加值</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万元</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基础设施</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绿色指标</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(IG)</w:t>
            </w: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12</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污水集中处理设施</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13</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新建工业建筑中绿色建筑的比例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14</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新建公共建筑中绿色建筑的比例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15</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500米公交站点覆盖率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16</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节能与新能源公交车比例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产业</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绿色指标</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（CG）</w:t>
            </w: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17</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高新技术产业产值占园区工业总产值比例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18</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绿色产业增加值占园区工业增加值比例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19</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人均工业增加值</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万元/人</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20</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现代服务业比例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生态环境</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绿色指标</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（HG）</w:t>
            </w: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21</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工业固体废弃物（含危废）处置利用率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工业固体废物处置利用量（含危险废物）</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吨</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p>
        </w:tc>
        <w:tc>
          <w:tcPr>
            <w:tcW w:w="969" w:type="pct"/>
            <w:shd w:val="clear" w:color="auto" w:fill="auto"/>
            <w:vAlign w:val="center"/>
          </w:tcPr>
          <w:p>
            <w:pPr>
              <w:adjustRightInd w:val="0"/>
              <w:snapToGrid w:val="0"/>
              <w:jc w:val="right"/>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产生量</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lang w:val="en-US" w:eastAsia="zh-CN"/>
              </w:rPr>
              <w:t>吨</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22</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万元工业增加值碳排放量消减率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23</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单位工业增加值废水排放量</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t/万元</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24</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主要污染物弹性系数</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25</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园区空气质量优良率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26</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绿化覆盖率</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27</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道路遮荫比例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28</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露天停车场遮荫比例</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restar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运行管理绿色指标</w:t>
            </w:r>
          </w:p>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（MG）</w:t>
            </w: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29</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w:t>
            </w:r>
            <w:r>
              <w:rPr>
                <w:rFonts w:hint="default" w:ascii="Times New Roman" w:hAnsi="Times New Roman" w:eastAsia="仿宋_GB2312" w:cs="Times New Roman"/>
                <w:color w:val="auto"/>
                <w:kern w:val="0"/>
                <w:sz w:val="24"/>
                <w:szCs w:val="24"/>
                <w:highlight w:val="none"/>
                <w:lang w:val="en-US" w:eastAsia="zh-CN"/>
              </w:rPr>
              <w:t>工业</w:t>
            </w:r>
            <w:r>
              <w:rPr>
                <w:rFonts w:hint="default" w:ascii="Times New Roman" w:hAnsi="Times New Roman" w:eastAsia="仿宋_GB2312" w:cs="Times New Roman"/>
                <w:color w:val="auto"/>
                <w:kern w:val="0"/>
                <w:sz w:val="24"/>
                <w:szCs w:val="24"/>
                <w:highlight w:val="none"/>
              </w:rPr>
              <w:t>园区标准体系完善程度</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30</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编制绿色</w:t>
            </w:r>
            <w:r>
              <w:rPr>
                <w:rFonts w:hint="default" w:ascii="Times New Roman" w:hAnsi="Times New Roman" w:eastAsia="仿宋_GB2312" w:cs="Times New Roman"/>
                <w:color w:val="auto"/>
                <w:kern w:val="0"/>
                <w:sz w:val="24"/>
                <w:szCs w:val="24"/>
                <w:highlight w:val="none"/>
                <w:lang w:val="en-US" w:eastAsia="zh-CN"/>
              </w:rPr>
              <w:t>工业</w:t>
            </w:r>
            <w:r>
              <w:rPr>
                <w:rFonts w:hint="default" w:ascii="Times New Roman" w:hAnsi="Times New Roman" w:eastAsia="仿宋_GB2312" w:cs="Times New Roman"/>
                <w:color w:val="auto"/>
                <w:kern w:val="0"/>
                <w:sz w:val="24"/>
                <w:szCs w:val="24"/>
                <w:highlight w:val="none"/>
              </w:rPr>
              <w:t>园区发展规划</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Merge w:val="continue"/>
            <w:shd w:val="clear" w:color="auto" w:fill="auto"/>
            <w:vAlign w:val="center"/>
          </w:tcPr>
          <w:p>
            <w:pPr>
              <w:adjustRightInd w:val="0"/>
              <w:snapToGrid w:val="0"/>
              <w:ind w:firstLine="560"/>
              <w:jc w:val="center"/>
              <w:rPr>
                <w:rFonts w:hint="default" w:ascii="Times New Roman" w:hAnsi="Times New Roman" w:eastAsia="仿宋_GB2312" w:cs="Times New Roman"/>
                <w:color w:val="auto"/>
                <w:kern w:val="0"/>
                <w:sz w:val="24"/>
                <w:szCs w:val="24"/>
                <w:highlight w:val="none"/>
              </w:rPr>
            </w:pPr>
          </w:p>
        </w:tc>
        <w:tc>
          <w:tcPr>
            <w:tcW w:w="423" w:type="pct"/>
            <w:shd w:val="clear" w:color="auto" w:fill="auto"/>
            <w:vAlign w:val="center"/>
          </w:tcPr>
          <w:p>
            <w:pPr>
              <w:pStyle w:val="149"/>
              <w:adjustRightInd w:val="0"/>
              <w:snapToGrid w:val="0"/>
              <w:ind w:firstLine="0" w:firstLine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31</w:t>
            </w:r>
          </w:p>
        </w:tc>
        <w:tc>
          <w:tcPr>
            <w:tcW w:w="969"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w:t>
            </w:r>
            <w:r>
              <w:rPr>
                <w:rFonts w:hint="default" w:ascii="Times New Roman" w:hAnsi="Times New Roman" w:eastAsia="仿宋_GB2312" w:cs="Times New Roman"/>
                <w:color w:val="auto"/>
                <w:kern w:val="0"/>
                <w:sz w:val="24"/>
                <w:szCs w:val="24"/>
                <w:highlight w:val="none"/>
                <w:lang w:val="en-US" w:eastAsia="zh-CN"/>
              </w:rPr>
              <w:t>工业</w:t>
            </w:r>
            <w:r>
              <w:rPr>
                <w:rFonts w:hint="default" w:ascii="Times New Roman" w:hAnsi="Times New Roman" w:eastAsia="仿宋_GB2312" w:cs="Times New Roman"/>
                <w:color w:val="auto"/>
                <w:kern w:val="0"/>
                <w:sz w:val="24"/>
                <w:szCs w:val="24"/>
                <w:highlight w:val="none"/>
              </w:rPr>
              <w:t>园区信息平台完善程度</w:t>
            </w:r>
          </w:p>
        </w:tc>
        <w:tc>
          <w:tcPr>
            <w:tcW w:w="573"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616"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34"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608"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c>
          <w:tcPr>
            <w:tcW w:w="727" w:type="pct"/>
            <w:shd w:val="clear" w:color="auto" w:fill="auto"/>
            <w:vAlign w:val="center"/>
          </w:tcPr>
          <w:p>
            <w:pPr>
              <w:adjustRightInd w:val="0"/>
              <w:snapToGrid w:val="0"/>
              <w:jc w:val="center"/>
              <w:rPr>
                <w:rFonts w:hint="default" w:ascii="Times New Roman" w:hAnsi="Times New Roman" w:eastAsia="仿宋_GB2312" w:cs="Times New Roman"/>
                <w:color w:val="auto"/>
                <w:kern w:val="0"/>
                <w:sz w:val="24"/>
                <w:szCs w:val="24"/>
                <w:highlight w:val="none"/>
              </w:rPr>
            </w:pPr>
          </w:p>
        </w:tc>
      </w:tr>
    </w:tbl>
    <w:p>
      <w:pPr>
        <w:spacing w:line="360" w:lineRule="auto"/>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注：单项指标最高得分不超过 120 分</w:t>
      </w:r>
    </w:p>
    <w:p>
      <w:pPr>
        <w:spacing w:line="360" w:lineRule="auto"/>
        <w:rPr>
          <w:rFonts w:hint="default" w:ascii="Times New Roman" w:hAnsi="Times New Roman" w:eastAsia="仿宋_GB2312" w:cs="Times New Roman"/>
          <w:color w:val="auto"/>
          <w:sz w:val="32"/>
          <w:szCs w:val="32"/>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4"/>
        <w:bidi w:val="0"/>
        <w:outlineLvl w:val="0"/>
        <w:rPr>
          <w:rFonts w:hint="default" w:ascii="Times New Roman" w:hAnsi="Times New Roman" w:eastAsia="黑体" w:cs="Times New Roman"/>
          <w:b w:val="0"/>
          <w:bCs w:val="0"/>
          <w:color w:val="auto"/>
          <w:highlight w:val="none"/>
          <w:lang w:val="en-US" w:eastAsia="zh-CN"/>
        </w:rPr>
      </w:pPr>
      <w:bookmarkStart w:id="58" w:name="_Toc7158"/>
      <w:bookmarkStart w:id="59" w:name="_Toc7274"/>
      <w:r>
        <w:rPr>
          <w:rFonts w:hint="default" w:ascii="Times New Roman" w:hAnsi="Times New Roman" w:eastAsia="黑体" w:cs="Times New Roman"/>
          <w:b w:val="0"/>
          <w:bCs w:val="0"/>
          <w:color w:val="auto"/>
          <w:highlight w:val="none"/>
          <w:lang w:val="en-US" w:eastAsia="zh-CN"/>
        </w:rPr>
        <w:t>附件3 绿色供应链管理企业评价报告格式</w:t>
      </w:r>
      <w:bookmarkEnd w:id="58"/>
      <w:bookmarkEnd w:id="59"/>
    </w:p>
    <w:p>
      <w:pPr>
        <w:tabs>
          <w:tab w:val="left" w:pos="5220"/>
        </w:tabs>
        <w:jc w:val="center"/>
        <w:rPr>
          <w:rFonts w:hint="default" w:ascii="Times New Roman" w:hAnsi="Times New Roman" w:eastAsia="黑体" w:cs="Times New Roman"/>
          <w:color w:val="auto"/>
          <w:sz w:val="52"/>
          <w:szCs w:val="52"/>
          <w:highlight w:val="none"/>
        </w:rPr>
      </w:pPr>
    </w:p>
    <w:p>
      <w:pPr>
        <w:tabs>
          <w:tab w:val="left" w:pos="5220"/>
        </w:tabs>
        <w:jc w:val="center"/>
        <w:rPr>
          <w:rFonts w:hint="default" w:ascii="Times New Roman" w:hAnsi="Times New Roman" w:eastAsia="黑体" w:cs="Times New Roman"/>
          <w:color w:val="auto"/>
          <w:sz w:val="52"/>
          <w:szCs w:val="52"/>
          <w:highlight w:val="none"/>
          <w:lang w:eastAsia="zh-CN"/>
        </w:rPr>
      </w:pPr>
      <w:r>
        <w:rPr>
          <w:rFonts w:hint="default" w:ascii="Times New Roman" w:hAnsi="Times New Roman" w:eastAsia="黑体" w:cs="Times New Roman"/>
          <w:color w:val="auto"/>
          <w:sz w:val="52"/>
          <w:szCs w:val="52"/>
          <w:highlight w:val="none"/>
        </w:rPr>
        <w:t>绿色供应链管理</w:t>
      </w:r>
      <w:r>
        <w:rPr>
          <w:rFonts w:hint="default" w:ascii="Times New Roman" w:hAnsi="Times New Roman" w:eastAsia="黑体" w:cs="Times New Roman"/>
          <w:color w:val="auto"/>
          <w:sz w:val="52"/>
          <w:szCs w:val="52"/>
          <w:highlight w:val="none"/>
          <w:lang w:eastAsia="zh-CN"/>
        </w:rPr>
        <w:t>企业</w:t>
      </w:r>
    </w:p>
    <w:p>
      <w:pPr>
        <w:tabs>
          <w:tab w:val="left" w:pos="5220"/>
        </w:tabs>
        <w:jc w:val="center"/>
        <w:rPr>
          <w:rFonts w:hint="default" w:ascii="Times New Roman" w:hAnsi="Times New Roman" w:eastAsia="黑体" w:cs="Times New Roman"/>
          <w:color w:val="auto"/>
          <w:sz w:val="52"/>
          <w:szCs w:val="52"/>
          <w:highlight w:val="none"/>
        </w:rPr>
      </w:pPr>
      <w:r>
        <w:rPr>
          <w:rFonts w:hint="default" w:ascii="Times New Roman" w:hAnsi="Times New Roman" w:eastAsia="黑体" w:cs="Times New Roman"/>
          <w:color w:val="auto"/>
          <w:sz w:val="52"/>
          <w:szCs w:val="52"/>
          <w:highlight w:val="none"/>
        </w:rPr>
        <w:t>评价报告</w:t>
      </w:r>
    </w:p>
    <w:p>
      <w:pPr>
        <w:spacing w:line="360" w:lineRule="auto"/>
        <w:rPr>
          <w:rFonts w:hint="default" w:ascii="Times New Roman" w:hAnsi="Times New Roman" w:eastAsia="宋体" w:cs="Times New Roman"/>
          <w:b/>
          <w:color w:val="auto"/>
          <w:sz w:val="52"/>
          <w:highlight w:val="none"/>
        </w:rPr>
      </w:pPr>
    </w:p>
    <w:p>
      <w:pPr>
        <w:spacing w:line="360" w:lineRule="auto"/>
        <w:rPr>
          <w:rFonts w:hint="default" w:ascii="Times New Roman" w:hAnsi="Times New Roman" w:eastAsia="宋体" w:cs="Times New Roman"/>
          <w:b/>
          <w:color w:val="auto"/>
          <w:sz w:val="52"/>
          <w:highlight w:val="none"/>
        </w:rPr>
      </w:pPr>
    </w:p>
    <w:p>
      <w:pPr>
        <w:spacing w:line="360" w:lineRule="auto"/>
        <w:rPr>
          <w:rFonts w:hint="default" w:ascii="Times New Roman" w:hAnsi="Times New Roman" w:eastAsia="宋体" w:cs="Times New Roman"/>
          <w:b/>
          <w:color w:val="auto"/>
          <w:sz w:val="52"/>
          <w:highlight w:val="none"/>
        </w:rPr>
      </w:pPr>
    </w:p>
    <w:p>
      <w:pPr>
        <w:spacing w:line="360" w:lineRule="auto"/>
        <w:rPr>
          <w:rFonts w:hint="default" w:ascii="Times New Roman" w:hAnsi="Times New Roman" w:eastAsia="仿宋_GB2312" w:cs="Times New Roman"/>
          <w:b/>
          <w:color w:val="auto"/>
          <w:sz w:val="52"/>
          <w:highlight w:val="none"/>
        </w:rPr>
      </w:pPr>
    </w:p>
    <w:p>
      <w:pPr>
        <w:spacing w:line="360" w:lineRule="auto"/>
        <w:rPr>
          <w:rFonts w:hint="default" w:ascii="Times New Roman" w:hAnsi="Times New Roman" w:eastAsia="仿宋_GB2312" w:cs="Times New Roman"/>
          <w:color w:val="auto"/>
          <w:sz w:val="30"/>
          <w:highlight w:val="none"/>
          <w:u w:val="single"/>
        </w:rPr>
      </w:pPr>
      <w:r>
        <w:rPr>
          <w:rFonts w:hint="default" w:ascii="Times New Roman" w:hAnsi="Times New Roman" w:eastAsia="楷体_GB2312" w:cs="Times New Roman"/>
          <w:color w:val="auto"/>
          <w:sz w:val="30"/>
          <w:highlight w:val="none"/>
        </w:rPr>
        <mc:AlternateContent>
          <mc:Choice Requires="wps">
            <w:drawing>
              <wp:anchor distT="0" distB="0" distL="114300" distR="114300" simplePos="0" relativeHeight="251659264" behindDoc="0" locked="0" layoutInCell="1" allowOverlap="1">
                <wp:simplePos x="0" y="0"/>
                <wp:positionH relativeFrom="column">
                  <wp:posOffset>1819275</wp:posOffset>
                </wp:positionH>
                <wp:positionV relativeFrom="paragraph">
                  <wp:posOffset>318135</wp:posOffset>
                </wp:positionV>
                <wp:extent cx="2592070" cy="635"/>
                <wp:effectExtent l="0" t="0" r="0" b="0"/>
                <wp:wrapNone/>
                <wp:docPr id="1" name="直接箭头连接符 1"/>
                <wp:cNvGraphicFramePr/>
                <a:graphic xmlns:a="http://schemas.openxmlformats.org/drawingml/2006/main">
                  <a:graphicData uri="http://schemas.microsoft.com/office/word/2010/wordprocessingShape">
                    <wps:wsp>
                      <wps:cNvCnPr/>
                      <wps:spPr>
                        <a:xfrm flipV="1">
                          <a:off x="0" y="0"/>
                          <a:ext cx="259207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43.25pt;margin-top:25.05pt;height:0.05pt;width:204.1pt;z-index:251659264;mso-width-relative:page;mso-height-relative:page;" filled="f" stroked="t" coordsize="21600,21600" o:gfxdata="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88mj2AAAAAkBAAAPAAAAAAAAAAEAIAAAACIAAABkcnMv&#10;ZG93bnJldi54bWxQSwECFAAUAAAACACHTuJAbNQeuwMCAAD4AwAADgAAAAAAAAABACAAAAAnAQAA&#10;ZHJzL2Uyb0RvYy54bWxQSwUGAAAAAAYABgBZAQAAnAUAAAAA&#10;">
                <v:fill on="f" focussize="0,0"/>
                <v:stroke color="#000000" joinstyle="round"/>
                <v:imagedata o:title=""/>
                <o:lock v:ext="edit" aspectratio="f"/>
              </v:shape>
            </w:pict>
          </mc:Fallback>
        </mc:AlternateContent>
      </w:r>
      <w:r>
        <w:rPr>
          <w:rFonts w:hint="default" w:ascii="Times New Roman" w:hAnsi="Times New Roman" w:eastAsia="楷体_GB2312" w:cs="Times New Roman"/>
          <w:color w:val="auto"/>
          <w:sz w:val="30"/>
          <w:highlight w:val="none"/>
        </w:rPr>
        <w:t xml:space="preserve">  </w:t>
      </w:r>
      <w:r>
        <w:rPr>
          <w:rFonts w:hint="default" w:ascii="Times New Roman" w:hAnsi="Times New Roman" w:eastAsia="仿宋_GB2312" w:cs="Times New Roman"/>
          <w:color w:val="auto"/>
          <w:sz w:val="30"/>
          <w:highlight w:val="none"/>
        </w:rPr>
        <w:t xml:space="preserve">        申报单位：</w:t>
      </w:r>
    </w:p>
    <w:p>
      <w:pPr>
        <w:spacing w:line="360" w:lineRule="auto"/>
        <w:ind w:firstLine="1500" w:firstLineChars="500"/>
        <w:rPr>
          <w:rFonts w:hint="default" w:ascii="Times New Roman" w:hAnsi="Times New Roman" w:eastAsia="仿宋_GB2312" w:cs="Times New Roman"/>
          <w:color w:val="auto"/>
          <w:sz w:val="30"/>
          <w:highlight w:val="none"/>
        </w:rPr>
      </w:pPr>
    </w:p>
    <w:p>
      <w:pPr>
        <w:spacing w:line="360" w:lineRule="auto"/>
        <w:ind w:firstLine="1500" w:firstLineChars="500"/>
        <w:rPr>
          <w:rFonts w:hint="default" w:ascii="Times New Roman" w:hAnsi="Times New Roman" w:eastAsia="仿宋_GB2312" w:cs="Times New Roman"/>
          <w:color w:val="auto"/>
          <w:sz w:val="30"/>
          <w:highlight w:val="none"/>
        </w:rPr>
      </w:pPr>
      <w:r>
        <w:rPr>
          <w:rFonts w:hint="default" w:ascii="Times New Roman" w:hAnsi="Times New Roman" w:eastAsia="仿宋_GB2312" w:cs="Times New Roman"/>
          <w:color w:val="auto"/>
          <w:sz w:val="30"/>
          <w:highlight w:val="none"/>
        </w:rPr>
        <w:t>所在市</w:t>
      </w:r>
      <w:r>
        <w:rPr>
          <w:rFonts w:hint="default" w:ascii="Times New Roman" w:hAnsi="Times New Roman" w:eastAsia="仿宋_GB2312" w:cs="Times New Roman"/>
          <w:color w:val="auto"/>
          <w:sz w:val="30"/>
          <w:highlight w:val="none"/>
          <w:lang w:eastAsia="zh-CN"/>
        </w:rPr>
        <w:t>（</w:t>
      </w:r>
      <w:r>
        <w:rPr>
          <w:rFonts w:hint="default" w:ascii="Times New Roman" w:hAnsi="Times New Roman" w:eastAsia="仿宋_GB2312" w:cs="Times New Roman"/>
          <w:color w:val="auto"/>
          <w:sz w:val="30"/>
          <w:highlight w:val="none"/>
        </w:rPr>
        <w:t>州</w:t>
      </w:r>
      <w:r>
        <w:rPr>
          <w:rFonts w:hint="default" w:ascii="Times New Roman" w:hAnsi="Times New Roman" w:eastAsia="仿宋_GB2312" w:cs="Times New Roman"/>
          <w:color w:val="auto"/>
          <w:sz w:val="30"/>
          <w:highlight w:val="none"/>
          <w:lang w:eastAsia="zh-CN"/>
        </w:rPr>
        <w:t>）</w:t>
      </w:r>
      <w:r>
        <w:rPr>
          <w:rFonts w:hint="default" w:ascii="Times New Roman" w:hAnsi="Times New Roman" w:eastAsia="仿宋_GB2312" w:cs="Times New Roman"/>
          <w:color w:val="auto"/>
          <w:sz w:val="30"/>
          <w:highlight w:val="none"/>
        </w:rPr>
        <w:t>：</w:t>
      </w:r>
      <w:r>
        <w:rPr>
          <w:rFonts w:hint="default" w:ascii="Times New Roman" w:hAnsi="Times New Roman" w:eastAsia="仿宋_GB2312" w:cs="Times New Roman"/>
          <w:color w:val="auto"/>
          <w:sz w:val="30"/>
          <w:highlight w:val="none"/>
          <w:u w:val="single"/>
        </w:rPr>
        <w:t xml:space="preserve">                       </w:t>
      </w:r>
    </w:p>
    <w:p>
      <w:pPr>
        <w:spacing w:line="360" w:lineRule="auto"/>
        <w:ind w:firstLine="1800" w:firstLineChars="600"/>
        <w:rPr>
          <w:rFonts w:hint="default" w:ascii="Times New Roman" w:hAnsi="Times New Roman" w:eastAsia="仿宋_GB2312" w:cs="Times New Roman"/>
          <w:color w:val="auto"/>
          <w:sz w:val="30"/>
          <w:highlight w:val="none"/>
        </w:rPr>
      </w:pPr>
    </w:p>
    <w:p>
      <w:pPr>
        <w:spacing w:line="360" w:lineRule="auto"/>
        <w:ind w:firstLine="0" w:firstLineChars="0"/>
        <w:rPr>
          <w:rFonts w:hint="default" w:ascii="Times New Roman" w:hAnsi="Times New Roman" w:eastAsia="仿宋_GB2312" w:cs="Times New Roman"/>
          <w:color w:val="auto"/>
          <w:sz w:val="30"/>
          <w:highlight w:val="none"/>
        </w:rPr>
      </w:pPr>
    </w:p>
    <w:p>
      <w:pPr>
        <w:spacing w:line="360" w:lineRule="auto"/>
        <w:rPr>
          <w:rFonts w:hint="default" w:ascii="Times New Roman" w:hAnsi="Times New Roman" w:eastAsia="仿宋_GB2312" w:cs="Times New Roman"/>
          <w:color w:val="auto"/>
          <w:sz w:val="30"/>
          <w:highlight w:val="none"/>
        </w:rPr>
      </w:pPr>
    </w:p>
    <w:p>
      <w:pPr>
        <w:spacing w:line="360" w:lineRule="auto"/>
        <w:rPr>
          <w:rFonts w:hint="default" w:ascii="Times New Roman" w:hAnsi="Times New Roman" w:eastAsia="仿宋_GB2312" w:cs="Times New Roman"/>
          <w:color w:val="auto"/>
          <w:sz w:val="30"/>
          <w:highlight w:val="none"/>
        </w:rPr>
      </w:pPr>
    </w:p>
    <w:p>
      <w:pPr>
        <w:spacing w:line="360" w:lineRule="auto"/>
        <w:rPr>
          <w:rFonts w:hint="default" w:ascii="Times New Roman" w:hAnsi="Times New Roman" w:eastAsia="仿宋_GB2312" w:cs="Times New Roman"/>
          <w:color w:val="auto"/>
          <w:sz w:val="30"/>
          <w:highlight w:val="none"/>
        </w:rPr>
      </w:pPr>
    </w:p>
    <w:p>
      <w:pPr>
        <w:spacing w:line="360" w:lineRule="auto"/>
        <w:jc w:val="center"/>
        <w:rPr>
          <w:rFonts w:hint="default" w:ascii="Times New Roman" w:hAnsi="Times New Roman" w:eastAsia="仿宋_GB2312" w:cs="Times New Roman"/>
          <w:color w:val="auto"/>
          <w:sz w:val="30"/>
          <w:highlight w:val="none"/>
        </w:rPr>
      </w:pPr>
      <w:r>
        <w:rPr>
          <w:rFonts w:hint="default" w:ascii="Times New Roman" w:hAnsi="Times New Roman" w:eastAsia="仿宋_GB2312" w:cs="Times New Roman"/>
          <w:color w:val="auto"/>
          <w:sz w:val="30"/>
          <w:highlight w:val="none"/>
        </w:rPr>
        <w:t>贵州省工业和信息化厅制</w:t>
      </w:r>
    </w:p>
    <w:p>
      <w:pPr>
        <w:spacing w:line="360" w:lineRule="auto"/>
        <w:jc w:val="center"/>
        <w:rPr>
          <w:rFonts w:hint="default" w:ascii="Times New Roman" w:hAnsi="Times New Roman" w:eastAsia="仿宋_GB2312" w:cs="Times New Roman"/>
          <w:color w:val="auto"/>
          <w:sz w:val="30"/>
          <w:highlight w:val="none"/>
        </w:rPr>
      </w:pPr>
      <w:r>
        <w:rPr>
          <w:rFonts w:hint="default" w:ascii="Times New Roman" w:hAnsi="Times New Roman" w:eastAsia="仿宋_GB2312" w:cs="Times New Roman"/>
          <w:color w:val="auto"/>
          <w:sz w:val="30"/>
          <w:highlight w:val="none"/>
        </w:rPr>
        <w:t xml:space="preserve"> 20  年    月    日</w:t>
      </w:r>
    </w:p>
    <w:p>
      <w:pPr>
        <w:spacing w:line="360" w:lineRule="auto"/>
        <w:rPr>
          <w:rFonts w:hint="default" w:ascii="Times New Roman" w:hAnsi="Times New Roman" w:cs="Times New Roman"/>
          <w:b/>
          <w:color w:val="auto"/>
          <w:sz w:val="30"/>
          <w:highlight w:val="none"/>
        </w:rPr>
        <w:sectPr>
          <w:footerReference r:id="rId10"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spacing w:line="360" w:lineRule="auto"/>
        <w:jc w:val="both"/>
        <w:rPr>
          <w:rFonts w:hint="default" w:ascii="Times New Roman" w:hAnsi="Times New Roman" w:eastAsia="方正小标宋简体" w:cs="Times New Roman"/>
          <w:color w:val="auto"/>
          <w:sz w:val="30"/>
          <w:highlight w:val="none"/>
        </w:rPr>
      </w:pPr>
    </w:p>
    <w:p>
      <w:pPr>
        <w:pStyle w:val="47"/>
        <w:ind w:left="0" w:leftChars="0" w:firstLine="0" w:firstLineChars="0"/>
        <w:rPr>
          <w:rFonts w:hint="default" w:ascii="Times New Roman" w:hAnsi="Times New Roman" w:cs="Times New Roman"/>
          <w:color w:val="auto"/>
          <w:highlight w:val="none"/>
        </w:rPr>
      </w:pPr>
    </w:p>
    <w:p>
      <w:pPr>
        <w:spacing w:line="360" w:lineRule="auto"/>
        <w:jc w:val="center"/>
        <w:rPr>
          <w:rFonts w:hint="default" w:ascii="Times New Roman" w:hAnsi="Times New Roman" w:eastAsia="黑体" w:cs="Times New Roman"/>
          <w:color w:val="auto"/>
          <w:sz w:val="48"/>
          <w:szCs w:val="48"/>
          <w:highlight w:val="none"/>
        </w:rPr>
      </w:pPr>
      <w:r>
        <w:rPr>
          <w:rFonts w:hint="default" w:ascii="Times New Roman" w:hAnsi="Times New Roman" w:eastAsia="黑体" w:cs="Times New Roman"/>
          <w:color w:val="auto"/>
          <w:sz w:val="36"/>
          <w:szCs w:val="36"/>
          <w:highlight w:val="none"/>
        </w:rPr>
        <w:t>填 写 说 明</w:t>
      </w:r>
    </w:p>
    <w:p>
      <w:pPr>
        <w:spacing w:line="360" w:lineRule="auto"/>
        <w:rPr>
          <w:rFonts w:hint="default" w:ascii="Times New Roman" w:hAnsi="Times New Roman" w:eastAsia="仿宋_GB2312" w:cs="Times New Roman"/>
          <w:b/>
          <w:color w:val="auto"/>
          <w:sz w:val="30"/>
          <w:highlight w:val="none"/>
        </w:rPr>
      </w:pPr>
    </w:p>
    <w:p>
      <w:pPr>
        <w:tabs>
          <w:tab w:val="left" w:pos="1152"/>
        </w:tabs>
        <w:spacing w:line="580" w:lineRule="exac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一、申请企业应当准确、如实填报。</w:t>
      </w:r>
    </w:p>
    <w:p>
      <w:pPr>
        <w:numPr>
          <w:ilvl w:val="0"/>
          <w:numId w:val="0"/>
        </w:numPr>
        <w:tabs>
          <w:tab w:val="left" w:pos="1152"/>
        </w:tabs>
        <w:spacing w:line="580" w:lineRule="exact"/>
        <w:ind w:left="0" w:firstLine="0" w:firstLineChars="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eastAsia="zh-CN"/>
        </w:rPr>
        <w:t>二、</w:t>
      </w:r>
      <w:r>
        <w:rPr>
          <w:rFonts w:hint="default" w:ascii="Times New Roman" w:hAnsi="Times New Roman" w:eastAsia="仿宋_GB2312" w:cs="Times New Roman"/>
          <w:color w:val="auto"/>
          <w:kern w:val="0"/>
          <w:sz w:val="32"/>
          <w:szCs w:val="32"/>
          <w:highlight w:val="none"/>
        </w:rPr>
        <w:t>企业所属行业主要包括汽车、航空航天、船舶、电子电器、通信、大型成套装备机械、纺织服装、建材、电子商务、快递包装等。</w:t>
      </w:r>
    </w:p>
    <w:p>
      <w:pPr>
        <w:tabs>
          <w:tab w:val="left" w:pos="1152"/>
        </w:tabs>
        <w:spacing w:line="580" w:lineRule="exac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三、有关项目页面不够时，可加附页。</w:t>
      </w:r>
    </w:p>
    <w:p>
      <w:pPr>
        <w:tabs>
          <w:tab w:val="left" w:pos="1152"/>
        </w:tabs>
        <w:spacing w:line="580" w:lineRule="exact"/>
        <w:rPr>
          <w:rFonts w:hint="default" w:ascii="Times New Roman" w:hAnsi="Times New Roman" w:eastAsia="仿宋_GB2312" w:cs="Times New Roman"/>
          <w:color w:val="auto"/>
          <w:sz w:val="28"/>
          <w:szCs w:val="28"/>
          <w:highlight w:val="none"/>
        </w:rPr>
      </w:pPr>
    </w:p>
    <w:p>
      <w:pPr>
        <w:pStyle w:val="2"/>
        <w:rPr>
          <w:rFonts w:hint="default" w:ascii="Times New Roman" w:hAnsi="Times New Roman" w:eastAsia="仿宋_GB2312" w:cs="Times New Roman"/>
          <w:color w:val="auto"/>
          <w:sz w:val="28"/>
          <w:szCs w:val="28"/>
          <w:highlight w:val="none"/>
        </w:rPr>
      </w:pPr>
    </w:p>
    <w:p>
      <w:pPr>
        <w:rPr>
          <w:rFonts w:hint="default" w:ascii="Times New Roman" w:hAnsi="Times New Roman" w:eastAsia="仿宋_GB2312" w:cs="Times New Roman"/>
          <w:color w:val="auto"/>
          <w:sz w:val="28"/>
          <w:szCs w:val="28"/>
          <w:highlight w:val="none"/>
        </w:rPr>
      </w:pPr>
    </w:p>
    <w:p>
      <w:pPr>
        <w:pStyle w:val="2"/>
        <w:rPr>
          <w:rFonts w:hint="default" w:ascii="Times New Roman" w:hAnsi="Times New Roman" w:eastAsia="仿宋_GB2312" w:cs="Times New Roman"/>
          <w:color w:val="auto"/>
          <w:sz w:val="28"/>
          <w:szCs w:val="28"/>
          <w:highlight w:val="none"/>
        </w:rPr>
      </w:pPr>
    </w:p>
    <w:p>
      <w:pPr>
        <w:rPr>
          <w:rFonts w:hint="default" w:ascii="Times New Roman" w:hAnsi="Times New Roman" w:eastAsia="仿宋_GB2312" w:cs="Times New Roman"/>
          <w:color w:val="auto"/>
          <w:sz w:val="28"/>
          <w:szCs w:val="28"/>
          <w:highlight w:val="none"/>
        </w:rPr>
      </w:pPr>
    </w:p>
    <w:p>
      <w:pPr>
        <w:pStyle w:val="2"/>
        <w:rPr>
          <w:rFonts w:hint="default" w:ascii="Times New Roman" w:hAnsi="Times New Roman" w:eastAsia="仿宋_GB2312" w:cs="Times New Roman"/>
          <w:color w:val="auto"/>
          <w:sz w:val="28"/>
          <w:szCs w:val="28"/>
          <w:highlight w:val="none"/>
        </w:rPr>
      </w:pPr>
    </w:p>
    <w:p>
      <w:pPr>
        <w:rPr>
          <w:rFonts w:hint="default" w:ascii="Times New Roman" w:hAnsi="Times New Roman" w:eastAsia="仿宋_GB2312" w:cs="Times New Roman"/>
          <w:color w:val="auto"/>
          <w:sz w:val="28"/>
          <w:szCs w:val="28"/>
          <w:highlight w:val="none"/>
        </w:rPr>
      </w:pPr>
    </w:p>
    <w:p>
      <w:pPr>
        <w:pStyle w:val="2"/>
        <w:rPr>
          <w:rFonts w:hint="default" w:ascii="Times New Roman" w:hAnsi="Times New Roman" w:eastAsia="仿宋_GB2312" w:cs="Times New Roman"/>
          <w:color w:val="auto"/>
          <w:sz w:val="28"/>
          <w:szCs w:val="28"/>
          <w:highlight w:val="none"/>
        </w:rPr>
      </w:pPr>
    </w:p>
    <w:p>
      <w:pPr>
        <w:rPr>
          <w:rFonts w:hint="default" w:ascii="Times New Roman" w:hAnsi="Times New Roman" w:eastAsia="仿宋_GB2312" w:cs="Times New Roman"/>
          <w:color w:val="auto"/>
          <w:sz w:val="28"/>
          <w:szCs w:val="28"/>
          <w:highlight w:val="none"/>
        </w:rPr>
      </w:pPr>
    </w:p>
    <w:p>
      <w:pPr>
        <w:pStyle w:val="2"/>
        <w:rPr>
          <w:rFonts w:hint="default" w:ascii="Times New Roman" w:hAnsi="Times New Roman" w:eastAsia="仿宋_GB2312" w:cs="Times New Roman"/>
          <w:color w:val="auto"/>
          <w:sz w:val="28"/>
          <w:szCs w:val="28"/>
          <w:highlight w:val="none"/>
        </w:rPr>
      </w:pPr>
    </w:p>
    <w:p>
      <w:pPr>
        <w:rPr>
          <w:rFonts w:hint="default" w:ascii="Times New Roman" w:hAnsi="Times New Roman" w:eastAsia="仿宋_GB2312" w:cs="Times New Roman"/>
          <w:color w:val="auto"/>
          <w:sz w:val="28"/>
          <w:szCs w:val="28"/>
          <w:highlight w:val="none"/>
        </w:rPr>
      </w:pPr>
    </w:p>
    <w:p>
      <w:pPr>
        <w:pStyle w:val="2"/>
        <w:rPr>
          <w:rFonts w:hint="default" w:ascii="Times New Roman" w:hAnsi="Times New Roman" w:eastAsia="仿宋_GB2312" w:cs="Times New Roman"/>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8"/>
          <w:szCs w:val="28"/>
          <w:highlight w:val="none"/>
        </w:rPr>
      </w:pPr>
      <w:r>
        <w:rPr>
          <w:rFonts w:hint="default" w:ascii="Times New Roman" w:hAnsi="Times New Roman" w:eastAsia="黑体" w:cs="Times New Roman"/>
          <w:b w:val="0"/>
          <w:bCs/>
          <w:color w:val="auto"/>
          <w:sz w:val="32"/>
          <w:szCs w:val="32"/>
          <w:highlight w:val="none"/>
        </w:rPr>
        <w:t>基本信息表</w:t>
      </w:r>
    </w:p>
    <w:tbl>
      <w:tblPr>
        <w:tblStyle w:val="37"/>
        <w:tblpPr w:leftFromText="180" w:rightFromText="180" w:vertAnchor="text" w:tblpXSpec="center" w:tblpY="1"/>
        <w:tblOverlap w:val="never"/>
        <w:tblW w:w="0" w:type="auto"/>
        <w:tblInd w:w="0" w:type="dxa"/>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9"/>
        <w:gridCol w:w="3117"/>
        <w:gridCol w:w="1240"/>
        <w:gridCol w:w="2336"/>
      </w:tblGrid>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tcBorders>
              <w:top w:val="single" w:color="000000" w:sz="4" w:space="0"/>
            </w:tcBorders>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企业名称</w:t>
            </w:r>
          </w:p>
        </w:tc>
        <w:tc>
          <w:tcPr>
            <w:tcW w:w="6693" w:type="dxa"/>
            <w:gridSpan w:val="3"/>
            <w:tcBorders>
              <w:top w:val="single" w:color="000000" w:sz="4" w:space="0"/>
            </w:tcBorders>
            <w:noWrap w:val="0"/>
            <w:vAlign w:val="center"/>
          </w:tcPr>
          <w:p>
            <w:pPr>
              <w:widowControl/>
              <w:jc w:val="left"/>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通讯地址</w:t>
            </w:r>
          </w:p>
        </w:tc>
        <w:tc>
          <w:tcPr>
            <w:tcW w:w="6693" w:type="dxa"/>
            <w:gridSpan w:val="3"/>
            <w:noWrap w:val="0"/>
            <w:vAlign w:val="center"/>
          </w:tcPr>
          <w:p>
            <w:pPr>
              <w:widowControl/>
              <w:jc w:val="left"/>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所属行业</w:t>
            </w:r>
          </w:p>
        </w:tc>
        <w:tc>
          <w:tcPr>
            <w:tcW w:w="3117" w:type="dxa"/>
            <w:noWrap w:val="0"/>
            <w:vAlign w:val="center"/>
          </w:tcPr>
          <w:p>
            <w:pPr>
              <w:widowControl/>
              <w:jc w:val="left"/>
              <w:rPr>
                <w:rFonts w:hint="default" w:ascii="Times New Roman" w:hAnsi="Times New Roman" w:eastAsia="仿宋_GB2312" w:cs="Times New Roman"/>
                <w:color w:val="auto"/>
                <w:kern w:val="0"/>
                <w:sz w:val="24"/>
                <w:highlight w:val="none"/>
              </w:rPr>
            </w:pPr>
          </w:p>
        </w:tc>
        <w:tc>
          <w:tcPr>
            <w:tcW w:w="1240" w:type="dxa"/>
            <w:noWrap w:val="0"/>
            <w:vAlign w:val="center"/>
          </w:tcPr>
          <w:p>
            <w:pPr>
              <w:widowControl/>
              <w:jc w:val="left"/>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 xml:space="preserve">主要产品  </w:t>
            </w:r>
          </w:p>
        </w:tc>
        <w:tc>
          <w:tcPr>
            <w:tcW w:w="2336" w:type="dxa"/>
            <w:noWrap w:val="0"/>
            <w:vAlign w:val="center"/>
          </w:tcPr>
          <w:p>
            <w:pPr>
              <w:widowControl/>
              <w:jc w:val="left"/>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eastAsia="zh-CN"/>
              </w:rPr>
              <w:t>单位</w:t>
            </w:r>
            <w:r>
              <w:rPr>
                <w:rFonts w:hint="default" w:ascii="Times New Roman" w:hAnsi="Times New Roman" w:eastAsia="仿宋_GB2312" w:cs="Times New Roman"/>
                <w:color w:val="auto"/>
                <w:kern w:val="0"/>
                <w:sz w:val="24"/>
                <w:highlight w:val="none"/>
              </w:rPr>
              <w:t>性质</w:t>
            </w:r>
          </w:p>
        </w:tc>
        <w:tc>
          <w:tcPr>
            <w:tcW w:w="6693" w:type="dxa"/>
            <w:gridSpan w:val="3"/>
            <w:noWrap w:val="0"/>
            <w:vAlign w:val="center"/>
          </w:tcPr>
          <w:p>
            <w:pPr>
              <w:widowControl/>
              <w:jc w:val="left"/>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内资（□国有□集体□民营）□中外合资□港澳台□外商独资</w:t>
            </w: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统一社会</w:t>
            </w:r>
          </w:p>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信用代码</w:t>
            </w:r>
          </w:p>
        </w:tc>
        <w:tc>
          <w:tcPr>
            <w:tcW w:w="3117" w:type="dxa"/>
            <w:noWrap w:val="0"/>
            <w:vAlign w:val="center"/>
          </w:tcPr>
          <w:p>
            <w:pPr>
              <w:widowControl/>
              <w:jc w:val="left"/>
              <w:rPr>
                <w:rFonts w:hint="default" w:ascii="Times New Roman" w:hAnsi="Times New Roman" w:eastAsia="仿宋_GB2312" w:cs="Times New Roman"/>
                <w:color w:val="auto"/>
                <w:kern w:val="0"/>
                <w:sz w:val="24"/>
                <w:highlight w:val="none"/>
              </w:rPr>
            </w:pPr>
          </w:p>
        </w:tc>
        <w:tc>
          <w:tcPr>
            <w:tcW w:w="1240"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eastAsia="zh-CN"/>
              </w:rPr>
              <w:t>法定代表人</w:t>
            </w:r>
          </w:p>
        </w:tc>
        <w:tc>
          <w:tcPr>
            <w:tcW w:w="2336" w:type="dxa"/>
            <w:noWrap w:val="0"/>
            <w:vAlign w:val="center"/>
          </w:tcPr>
          <w:p>
            <w:pPr>
              <w:widowControl/>
              <w:jc w:val="left"/>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注册机关</w:t>
            </w:r>
          </w:p>
        </w:tc>
        <w:tc>
          <w:tcPr>
            <w:tcW w:w="3117" w:type="dxa"/>
            <w:noWrap w:val="0"/>
            <w:vAlign w:val="center"/>
          </w:tcPr>
          <w:p>
            <w:pPr>
              <w:widowControl/>
              <w:jc w:val="left"/>
              <w:rPr>
                <w:rFonts w:hint="default" w:ascii="Times New Roman" w:hAnsi="Times New Roman" w:eastAsia="仿宋_GB2312" w:cs="Times New Roman"/>
                <w:color w:val="auto"/>
                <w:kern w:val="0"/>
                <w:sz w:val="24"/>
                <w:highlight w:val="none"/>
              </w:rPr>
            </w:pPr>
          </w:p>
        </w:tc>
        <w:tc>
          <w:tcPr>
            <w:tcW w:w="1240"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注册资本</w:t>
            </w:r>
          </w:p>
        </w:tc>
        <w:tc>
          <w:tcPr>
            <w:tcW w:w="2336" w:type="dxa"/>
            <w:noWrap w:val="0"/>
            <w:vAlign w:val="center"/>
          </w:tcPr>
          <w:p>
            <w:pPr>
              <w:widowControl/>
              <w:jc w:val="left"/>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成立日期</w:t>
            </w:r>
          </w:p>
        </w:tc>
        <w:tc>
          <w:tcPr>
            <w:tcW w:w="3117" w:type="dxa"/>
            <w:noWrap w:val="0"/>
            <w:vAlign w:val="center"/>
          </w:tcPr>
          <w:p>
            <w:pPr>
              <w:widowControl/>
              <w:jc w:val="left"/>
              <w:rPr>
                <w:rFonts w:hint="default" w:ascii="Times New Roman" w:hAnsi="Times New Roman" w:eastAsia="仿宋_GB2312" w:cs="Times New Roman"/>
                <w:color w:val="auto"/>
                <w:kern w:val="0"/>
                <w:sz w:val="24"/>
                <w:highlight w:val="none"/>
              </w:rPr>
            </w:pPr>
          </w:p>
        </w:tc>
        <w:tc>
          <w:tcPr>
            <w:tcW w:w="1240"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有效期</w:t>
            </w:r>
          </w:p>
        </w:tc>
        <w:tc>
          <w:tcPr>
            <w:tcW w:w="2336" w:type="dxa"/>
            <w:noWrap w:val="0"/>
            <w:vAlign w:val="center"/>
          </w:tcPr>
          <w:p>
            <w:pPr>
              <w:widowControl/>
              <w:jc w:val="left"/>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申报工作</w:t>
            </w:r>
          </w:p>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联系部门</w:t>
            </w:r>
          </w:p>
        </w:tc>
        <w:tc>
          <w:tcPr>
            <w:tcW w:w="3117" w:type="dxa"/>
            <w:noWrap w:val="0"/>
            <w:vAlign w:val="center"/>
          </w:tcPr>
          <w:p>
            <w:pPr>
              <w:widowControl/>
              <w:jc w:val="left"/>
              <w:rPr>
                <w:rFonts w:hint="default" w:ascii="Times New Roman" w:hAnsi="Times New Roman" w:eastAsia="仿宋_GB2312" w:cs="Times New Roman"/>
                <w:color w:val="auto"/>
                <w:kern w:val="0"/>
                <w:sz w:val="24"/>
                <w:highlight w:val="none"/>
              </w:rPr>
            </w:pPr>
          </w:p>
        </w:tc>
        <w:tc>
          <w:tcPr>
            <w:tcW w:w="1240"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联系人</w:t>
            </w:r>
          </w:p>
        </w:tc>
        <w:tc>
          <w:tcPr>
            <w:tcW w:w="2336" w:type="dxa"/>
            <w:noWrap w:val="0"/>
            <w:vAlign w:val="center"/>
          </w:tcPr>
          <w:p>
            <w:pPr>
              <w:widowControl/>
              <w:jc w:val="left"/>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联系电话</w:t>
            </w:r>
          </w:p>
        </w:tc>
        <w:tc>
          <w:tcPr>
            <w:tcW w:w="3117" w:type="dxa"/>
            <w:noWrap w:val="0"/>
            <w:vAlign w:val="center"/>
          </w:tcPr>
          <w:p>
            <w:pPr>
              <w:widowControl/>
              <w:jc w:val="left"/>
              <w:rPr>
                <w:rFonts w:hint="default" w:ascii="Times New Roman" w:hAnsi="Times New Roman" w:eastAsia="仿宋_GB2312" w:cs="Times New Roman"/>
                <w:color w:val="auto"/>
                <w:kern w:val="0"/>
                <w:sz w:val="24"/>
                <w:highlight w:val="none"/>
              </w:rPr>
            </w:pPr>
          </w:p>
        </w:tc>
        <w:tc>
          <w:tcPr>
            <w:tcW w:w="1240"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电子邮箱</w:t>
            </w:r>
          </w:p>
        </w:tc>
        <w:tc>
          <w:tcPr>
            <w:tcW w:w="2336" w:type="dxa"/>
            <w:noWrap w:val="0"/>
            <w:vAlign w:val="center"/>
          </w:tcPr>
          <w:p>
            <w:pPr>
              <w:widowControl/>
              <w:jc w:val="left"/>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816"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企业简介</w:t>
            </w:r>
          </w:p>
        </w:tc>
        <w:tc>
          <w:tcPr>
            <w:tcW w:w="6693" w:type="dxa"/>
            <w:gridSpan w:val="3"/>
            <w:noWrap w:val="0"/>
            <w:vAlign w:val="top"/>
          </w:tcPr>
          <w:p>
            <w:pPr>
              <w:widowControl/>
              <w:spacing w:before="156" w:beforeLines="50"/>
              <w:jc w:val="left"/>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w:t>
            </w:r>
            <w:r>
              <w:rPr>
                <w:rFonts w:hint="default" w:ascii="Times New Roman" w:hAnsi="Times New Roman" w:eastAsia="仿宋_GB2312" w:cs="Times New Roman"/>
                <w:color w:val="auto"/>
                <w:kern w:val="0"/>
                <w:sz w:val="24"/>
                <w:highlight w:val="none"/>
                <w:lang w:val="en-US" w:eastAsia="zh-CN"/>
              </w:rPr>
              <w:t>至少应包括：</w:t>
            </w:r>
            <w:r>
              <w:rPr>
                <w:rFonts w:hint="default" w:ascii="Times New Roman" w:hAnsi="Times New Roman" w:eastAsia="仿宋_GB2312" w:cs="Times New Roman"/>
                <w:color w:val="auto"/>
                <w:kern w:val="0"/>
                <w:sz w:val="24"/>
                <w:highlight w:val="none"/>
              </w:rPr>
              <w:t>企业基本情况、经营状况、上下游供应商</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所获荣誉情况等</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500字以内</w:t>
            </w:r>
            <w:r>
              <w:rPr>
                <w:rFonts w:hint="default" w:ascii="Times New Roman" w:hAnsi="Times New Roman" w:eastAsia="仿宋_GB2312" w:cs="Times New Roman"/>
                <w:color w:val="auto"/>
                <w:kern w:val="0"/>
                <w:sz w:val="24"/>
                <w:highlight w:val="none"/>
                <w:lang w:eastAsia="zh-CN"/>
              </w:rPr>
              <w:t>）</w:t>
            </w:r>
          </w:p>
          <w:p>
            <w:pPr>
              <w:widowControl/>
              <w:jc w:val="center"/>
              <w:rPr>
                <w:rFonts w:hint="default" w:ascii="Times New Roman" w:hAnsi="Times New Roman" w:eastAsia="仿宋_GB2312" w:cs="Times New Roman"/>
                <w:color w:val="auto"/>
                <w:kern w:val="0"/>
                <w:sz w:val="24"/>
                <w:highlight w:val="none"/>
              </w:rPr>
            </w:pPr>
          </w:p>
          <w:p>
            <w:pPr>
              <w:widowControl/>
              <w:jc w:val="center"/>
              <w:rPr>
                <w:rFonts w:hint="default" w:ascii="Times New Roman" w:hAnsi="Times New Roman" w:eastAsia="仿宋_GB2312" w:cs="Times New Roman"/>
                <w:color w:val="auto"/>
                <w:kern w:val="0"/>
                <w:sz w:val="24"/>
                <w:highlight w:val="none"/>
              </w:rPr>
            </w:pPr>
          </w:p>
          <w:p>
            <w:pPr>
              <w:widowControl/>
              <w:jc w:val="both"/>
              <w:rPr>
                <w:rFonts w:hint="default" w:ascii="Times New Roman" w:hAnsi="Times New Roman" w:eastAsia="仿宋_GB2312" w:cs="Times New Roman"/>
                <w:color w:val="auto"/>
                <w:kern w:val="0"/>
                <w:sz w:val="24"/>
                <w:highlight w:val="none"/>
              </w:rPr>
            </w:pPr>
          </w:p>
          <w:p>
            <w:pPr>
              <w:widowControl/>
              <w:jc w:val="both"/>
              <w:rPr>
                <w:rFonts w:hint="default" w:ascii="Times New Roman" w:hAnsi="Times New Roman" w:eastAsia="仿宋_GB2312" w:cs="Times New Roman"/>
                <w:color w:val="auto"/>
                <w:kern w:val="0"/>
                <w:sz w:val="24"/>
                <w:highlight w:val="none"/>
              </w:rPr>
            </w:pPr>
          </w:p>
          <w:p>
            <w:pPr>
              <w:widowControl/>
              <w:jc w:val="center"/>
              <w:rPr>
                <w:rFonts w:hint="default" w:ascii="Times New Roman" w:hAnsi="Times New Roman" w:eastAsia="仿宋_GB2312" w:cs="Times New Roman"/>
                <w:color w:val="auto"/>
                <w:kern w:val="0"/>
                <w:sz w:val="24"/>
                <w:highlight w:val="none"/>
              </w:rPr>
            </w:pP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72" w:hRule="atLeast"/>
        </w:trPr>
        <w:tc>
          <w:tcPr>
            <w:tcW w:w="1639" w:type="dxa"/>
            <w:noWrap w:val="0"/>
            <w:vAlign w:val="center"/>
          </w:tcPr>
          <w:p>
            <w:pPr>
              <w:widowControl/>
              <w:jc w:val="center"/>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val="en-US" w:eastAsia="zh-CN"/>
              </w:rPr>
              <w:t>绿色供应链创建经验及成效</w:t>
            </w:r>
          </w:p>
        </w:tc>
        <w:tc>
          <w:tcPr>
            <w:tcW w:w="6693" w:type="dxa"/>
            <w:gridSpan w:val="3"/>
            <w:noWrap w:val="0"/>
            <w:vAlign w:val="top"/>
          </w:tcPr>
          <w:p>
            <w:pPr>
              <w:widowControl/>
              <w:jc w:val="left"/>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lang w:val="en-US" w:eastAsia="zh-CN"/>
              </w:rPr>
              <w:t>（从</w:t>
            </w:r>
            <w:r>
              <w:rPr>
                <w:rFonts w:hint="default" w:ascii="Times New Roman" w:hAnsi="Times New Roman" w:eastAsia="仿宋_GB2312" w:cs="Times New Roman"/>
                <w:color w:val="auto"/>
                <w:kern w:val="0"/>
                <w:sz w:val="24"/>
                <w:highlight w:val="none"/>
              </w:rPr>
              <w:t>绿色供应链管理战略</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实施绿色供应商管理</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绿色生产</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绿色回收</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绿色信息平台建设</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绿色信息披露</w:t>
            </w:r>
            <w:r>
              <w:rPr>
                <w:rFonts w:hint="default" w:ascii="Times New Roman" w:hAnsi="Times New Roman" w:eastAsia="仿宋_GB2312" w:cs="Times New Roman"/>
                <w:color w:val="auto"/>
                <w:kern w:val="0"/>
                <w:sz w:val="24"/>
                <w:highlight w:val="none"/>
                <w:lang w:val="en-US" w:eastAsia="zh-CN"/>
              </w:rPr>
              <w:t>等方面概述供应链创建的经验和成效，800字以内）</w:t>
            </w:r>
          </w:p>
        </w:tc>
      </w:tr>
      <w:tr>
        <w:tblPrEx>
          <w:tblBorders>
            <w:top w:val="single" w:color="000000" w:sz="8"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32" w:hRule="atLeast"/>
        </w:trPr>
        <w:tc>
          <w:tcPr>
            <w:tcW w:w="8332" w:type="dxa"/>
            <w:gridSpan w:val="4"/>
            <w:tcBorders>
              <w:tl2br w:val="nil"/>
              <w:tr2bl w:val="nil"/>
            </w:tcBorders>
            <w:noWrap w:val="0"/>
            <w:vAlign w:val="center"/>
          </w:tcPr>
          <w:p>
            <w:pPr>
              <w:widowControl/>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rPr>
              <w:t>材料真实性承诺:</w:t>
            </w:r>
          </w:p>
          <w:p>
            <w:pPr>
              <w:widowControl/>
              <w:ind w:firstLine="496" w:firstLineChars="207"/>
              <w:rPr>
                <w:rFonts w:hint="default" w:ascii="Times New Roman" w:hAnsi="Times New Roman" w:eastAsia="仿宋_GB2312" w:cs="Times New Roman"/>
                <w:color w:val="auto"/>
                <w:kern w:val="0"/>
                <w:sz w:val="24"/>
                <w:highlight w:val="none"/>
              </w:rPr>
            </w:pPr>
          </w:p>
          <w:p>
            <w:pPr>
              <w:widowControl/>
              <w:ind w:firstLine="496" w:firstLineChars="207"/>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color w:val="auto"/>
                <w:kern w:val="0"/>
                <w:sz w:val="24"/>
                <w:highlight w:val="none"/>
              </w:rPr>
              <w:t>我单位郑重承诺：</w:t>
            </w:r>
            <w:r>
              <w:rPr>
                <w:rFonts w:hint="default" w:ascii="Times New Roman" w:hAnsi="Times New Roman" w:eastAsia="仿宋_GB2312" w:cs="Times New Roman"/>
                <w:color w:val="auto"/>
                <w:kern w:val="0"/>
                <w:sz w:val="24"/>
                <w:highlight w:val="none"/>
                <w:lang w:val="en-US" w:eastAsia="zh-CN"/>
              </w:rPr>
              <w:t>本企业近三年未</w:t>
            </w:r>
            <w:r>
              <w:rPr>
                <w:rFonts w:hint="default" w:ascii="Times New Roman" w:hAnsi="Times New Roman" w:eastAsia="仿宋_GB2312" w:cs="Times New Roman"/>
                <w:color w:val="auto"/>
                <w:kern w:val="0"/>
                <w:sz w:val="24"/>
                <w:highlight w:val="none"/>
              </w:rPr>
              <w:t>发生安全（含网络安全、数据安全）、质量、环境污染等事故以及偷漏税等违法违规行为的</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未</w:t>
            </w:r>
            <w:r>
              <w:rPr>
                <w:rFonts w:hint="default" w:ascii="Times New Roman" w:hAnsi="Times New Roman" w:eastAsia="仿宋_GB2312" w:cs="Times New Roman"/>
                <w:color w:val="auto"/>
                <w:kern w:val="0"/>
                <w:sz w:val="24"/>
                <w:highlight w:val="none"/>
              </w:rPr>
              <w:t>在国务院及有关部门相关督查工作中被发现存在严重问题</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不在</w:t>
            </w:r>
            <w:r>
              <w:rPr>
                <w:rFonts w:hint="default" w:ascii="Times New Roman" w:hAnsi="Times New Roman" w:eastAsia="仿宋_GB2312" w:cs="Times New Roman"/>
                <w:color w:val="auto"/>
                <w:kern w:val="0"/>
                <w:sz w:val="24"/>
                <w:highlight w:val="none"/>
              </w:rPr>
              <w:t>工业节能监察整改名单</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lang w:val="en-US" w:eastAsia="zh-CN"/>
              </w:rPr>
              <w:t>且不属于</w:t>
            </w:r>
            <w:r>
              <w:rPr>
                <w:rFonts w:hint="default" w:ascii="Times New Roman" w:hAnsi="Times New Roman" w:eastAsia="仿宋_GB2312" w:cs="Times New Roman"/>
                <w:color w:val="auto"/>
                <w:kern w:val="0"/>
                <w:sz w:val="24"/>
                <w:highlight w:val="none"/>
              </w:rPr>
              <w:t>失信被执行人</w:t>
            </w:r>
            <w:r>
              <w:rPr>
                <w:rFonts w:hint="default" w:ascii="Times New Roman" w:hAnsi="Times New Roman" w:eastAsia="仿宋_GB2312" w:cs="Times New Roman"/>
                <w:color w:val="auto"/>
                <w:kern w:val="0"/>
                <w:sz w:val="24"/>
                <w:highlight w:val="none"/>
                <w:lang w:eastAsia="zh-CN"/>
              </w:rPr>
              <w:t>。</w:t>
            </w:r>
            <w:r>
              <w:rPr>
                <w:rFonts w:hint="default" w:ascii="Times New Roman" w:hAnsi="Times New Roman" w:eastAsia="仿宋_GB2312" w:cs="Times New Roman"/>
                <w:color w:val="auto"/>
                <w:kern w:val="0"/>
                <w:sz w:val="24"/>
                <w:highlight w:val="none"/>
              </w:rPr>
              <w:t>本次申报绿色</w:t>
            </w:r>
            <w:r>
              <w:rPr>
                <w:rFonts w:hint="default" w:ascii="Times New Roman" w:hAnsi="Times New Roman" w:eastAsia="仿宋_GB2312" w:cs="Times New Roman"/>
                <w:color w:val="auto"/>
                <w:kern w:val="0"/>
                <w:sz w:val="24"/>
                <w:highlight w:val="none"/>
                <w:lang w:val="en-US" w:eastAsia="zh-CN"/>
              </w:rPr>
              <w:t>供应链管理企业</w:t>
            </w:r>
            <w:r>
              <w:rPr>
                <w:rFonts w:hint="default" w:ascii="Times New Roman" w:hAnsi="Times New Roman" w:eastAsia="仿宋_GB2312" w:cs="Times New Roman"/>
                <w:color w:val="auto"/>
                <w:kern w:val="0"/>
                <w:sz w:val="24"/>
                <w:highlight w:val="none"/>
              </w:rPr>
              <w:t>所提交的相关数据和信息均真实、有效，愿接受并积极配合主管部门的监督抽查和核验。如有违反，愿承担由此产生的相应责任。</w:t>
            </w:r>
          </w:p>
          <w:p>
            <w:pPr>
              <w:widowControl/>
              <w:ind w:firstLine="496" w:firstLineChars="207"/>
              <w:rPr>
                <w:rFonts w:hint="default" w:ascii="Times New Roman" w:hAnsi="Times New Roman" w:eastAsia="仿宋_GB2312" w:cs="Times New Roman"/>
                <w:color w:val="auto"/>
                <w:kern w:val="0"/>
                <w:sz w:val="24"/>
                <w:highlight w:val="none"/>
              </w:rPr>
            </w:pPr>
          </w:p>
          <w:p>
            <w:pPr>
              <w:pStyle w:val="2"/>
              <w:rPr>
                <w:rFonts w:hint="default" w:ascii="Times New Roman" w:hAnsi="Times New Roman" w:eastAsia="仿宋_GB2312" w:cs="Times New Roman"/>
                <w:color w:val="auto"/>
                <w:kern w:val="0"/>
                <w:sz w:val="24"/>
                <w:highlight w:val="none"/>
              </w:rPr>
            </w:pPr>
          </w:p>
          <w:p>
            <w:pPr>
              <w:rPr>
                <w:rFonts w:hint="default" w:ascii="Times New Roman" w:hAnsi="Times New Roman" w:eastAsia="仿宋_GB2312" w:cs="Times New Roman"/>
                <w:color w:val="auto"/>
                <w:kern w:val="0"/>
                <w:sz w:val="24"/>
                <w:highlight w:val="none"/>
              </w:rPr>
            </w:pPr>
          </w:p>
          <w:p>
            <w:pPr>
              <w:pStyle w:val="2"/>
              <w:rPr>
                <w:rFonts w:hint="default" w:ascii="Times New Roman" w:hAnsi="Times New Roman" w:eastAsia="仿宋_GB2312" w:cs="Times New Roman"/>
                <w:color w:val="auto"/>
                <w:kern w:val="0"/>
                <w:sz w:val="24"/>
                <w:highlight w:val="none"/>
              </w:rPr>
            </w:pPr>
          </w:p>
          <w:p>
            <w:pPr>
              <w:rPr>
                <w:rFonts w:hint="default" w:ascii="Times New Roman" w:hAnsi="Times New Roman" w:cs="Times New Roman"/>
              </w:rPr>
            </w:pPr>
          </w:p>
          <w:p>
            <w:pPr>
              <w:widowControl/>
              <w:ind w:firstLine="496" w:firstLineChars="207"/>
              <w:rPr>
                <w:rFonts w:hint="default" w:ascii="Times New Roman" w:hAnsi="Times New Roman" w:eastAsia="仿宋_GB2312" w:cs="Times New Roman"/>
                <w:color w:val="auto"/>
                <w:kern w:val="0"/>
                <w:sz w:val="24"/>
                <w:highlight w:val="none"/>
              </w:rPr>
            </w:pPr>
          </w:p>
          <w:p>
            <w:pPr>
              <w:widowControl/>
              <w:wordWrap w:val="0"/>
              <w:jc w:val="center"/>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lang w:val="en-US" w:eastAsia="zh-CN"/>
              </w:rPr>
              <w:t xml:space="preserve">                         </w:t>
            </w:r>
            <w:r>
              <w:rPr>
                <w:rFonts w:hint="default" w:ascii="Times New Roman" w:hAnsi="Times New Roman" w:eastAsia="仿宋_GB2312" w:cs="Times New Roman"/>
                <w:b w:val="0"/>
                <w:color w:val="auto"/>
                <w:kern w:val="0"/>
                <w:sz w:val="24"/>
                <w:highlight w:val="none"/>
                <w:lang w:val="en-US" w:eastAsia="zh-CN"/>
              </w:rPr>
              <w:t xml:space="preserve">  </w:t>
            </w:r>
            <w:r>
              <w:rPr>
                <w:rFonts w:hint="default" w:ascii="Times New Roman" w:hAnsi="Times New Roman" w:eastAsia="仿宋_GB2312" w:cs="Times New Roman"/>
                <w:b/>
                <w:color w:val="auto"/>
                <w:kern w:val="0"/>
                <w:sz w:val="24"/>
                <w:highlight w:val="none"/>
              </w:rPr>
              <w:t xml:space="preserve">法人或单位负责人签字：          </w:t>
            </w:r>
          </w:p>
          <w:p>
            <w:pPr>
              <w:widowControl/>
              <w:wordWrap w:val="0"/>
              <w:jc w:val="center"/>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lang w:val="en-US" w:eastAsia="zh-CN"/>
              </w:rPr>
              <w:t xml:space="preserve">                                 </w:t>
            </w:r>
            <w:r>
              <w:rPr>
                <w:rFonts w:hint="default" w:ascii="Times New Roman" w:hAnsi="Times New Roman" w:eastAsia="仿宋_GB2312" w:cs="Times New Roman"/>
                <w:b/>
                <w:color w:val="auto"/>
                <w:kern w:val="0"/>
                <w:sz w:val="24"/>
                <w:highlight w:val="none"/>
              </w:rPr>
              <w:t>（</w:t>
            </w:r>
            <w:r>
              <w:rPr>
                <w:rFonts w:hint="default" w:ascii="Times New Roman" w:hAnsi="Times New Roman" w:eastAsia="仿宋_GB2312" w:cs="Times New Roman"/>
                <w:b/>
                <w:color w:val="auto"/>
                <w:kern w:val="0"/>
                <w:sz w:val="24"/>
                <w:highlight w:val="none"/>
                <w:lang w:eastAsia="zh-CN"/>
              </w:rPr>
              <w:t>公</w:t>
            </w:r>
            <w:r>
              <w:rPr>
                <w:rFonts w:hint="default" w:ascii="Times New Roman" w:hAnsi="Times New Roman" w:eastAsia="仿宋_GB2312" w:cs="Times New Roman"/>
                <w:b/>
                <w:color w:val="auto"/>
                <w:kern w:val="0"/>
                <w:sz w:val="24"/>
                <w:highlight w:val="none"/>
              </w:rPr>
              <w:t>章）</w:t>
            </w:r>
          </w:p>
          <w:p>
            <w:pPr>
              <w:widowControl/>
              <w:wordWrap w:val="0"/>
              <w:jc w:val="center"/>
              <w:rPr>
                <w:rFonts w:hint="default" w:ascii="Times New Roman" w:hAnsi="Times New Roman" w:eastAsia="仿宋_GB2312" w:cs="Times New Roman"/>
                <w:b/>
                <w:color w:val="auto"/>
                <w:kern w:val="0"/>
                <w:sz w:val="24"/>
                <w:highlight w:val="none"/>
              </w:rPr>
            </w:pPr>
            <w:r>
              <w:rPr>
                <w:rFonts w:hint="default" w:ascii="Times New Roman" w:hAnsi="Times New Roman" w:eastAsia="仿宋_GB2312" w:cs="Times New Roman"/>
                <w:b/>
                <w:color w:val="auto"/>
                <w:kern w:val="0"/>
                <w:sz w:val="24"/>
                <w:highlight w:val="none"/>
                <w:lang w:val="en-US" w:eastAsia="zh-CN"/>
              </w:rPr>
              <w:t xml:space="preserve">                                            </w:t>
            </w:r>
            <w:r>
              <w:rPr>
                <w:rFonts w:hint="default" w:ascii="Times New Roman" w:hAnsi="Times New Roman" w:eastAsia="仿宋_GB2312" w:cs="Times New Roman"/>
                <w:b/>
                <w:color w:val="auto"/>
                <w:kern w:val="0"/>
                <w:sz w:val="24"/>
                <w:highlight w:val="none"/>
              </w:rPr>
              <w:t>日期：</w:t>
            </w:r>
            <w:r>
              <w:rPr>
                <w:rFonts w:hint="default" w:ascii="Times New Roman" w:hAnsi="Times New Roman" w:eastAsia="仿宋_GB2312" w:cs="Times New Roman"/>
                <w:b w:val="0"/>
                <w:color w:val="auto"/>
                <w:kern w:val="0"/>
                <w:sz w:val="24"/>
                <w:highlight w:val="none"/>
              </w:rPr>
              <w:t xml:space="preserve">          </w:t>
            </w:r>
            <w:r>
              <w:rPr>
                <w:rFonts w:hint="default" w:ascii="Times New Roman" w:hAnsi="Times New Roman" w:eastAsia="仿宋_GB2312" w:cs="Times New Roman"/>
                <w:b/>
                <w:color w:val="auto"/>
                <w:kern w:val="0"/>
                <w:sz w:val="24"/>
                <w:highlight w:val="none"/>
              </w:rPr>
              <w:t xml:space="preserve"> </w:t>
            </w: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b/>
                <w:color w:val="auto"/>
                <w:kern w:val="0"/>
                <w:sz w:val="24"/>
                <w:highlight w:val="none"/>
              </w:rPr>
            </w:pPr>
          </w:p>
          <w:p>
            <w:pPr>
              <w:widowControl/>
              <w:jc w:val="right"/>
              <w:rPr>
                <w:rFonts w:hint="default" w:ascii="Times New Roman" w:hAnsi="Times New Roman" w:eastAsia="仿宋_GB2312" w:cs="Times New Roman"/>
                <w:color w:val="auto"/>
                <w:kern w:val="0"/>
                <w:sz w:val="24"/>
                <w:highlight w:val="none"/>
              </w:rPr>
            </w:pPr>
            <w:r>
              <w:rPr>
                <w:rFonts w:hint="default" w:ascii="Times New Roman" w:hAnsi="Times New Roman" w:eastAsia="仿宋_GB2312" w:cs="Times New Roman"/>
                <w:b/>
                <w:color w:val="auto"/>
                <w:kern w:val="0"/>
                <w:sz w:val="24"/>
                <w:highlight w:val="none"/>
              </w:rPr>
              <w:t xml:space="preserve">         </w:t>
            </w:r>
          </w:p>
        </w:tc>
      </w:tr>
    </w:tbl>
    <w:p>
      <w:pPr>
        <w:pStyle w:val="8"/>
        <w:bidi w:val="0"/>
        <w:jc w:val="center"/>
        <w:rPr>
          <w:rFonts w:hint="default"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t>基础数据表</w:t>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68"/>
        <w:gridCol w:w="2658"/>
        <w:gridCol w:w="1550"/>
        <w:gridCol w:w="1417"/>
        <w:gridCol w:w="9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评价标准（依据）</w:t>
            </w:r>
          </w:p>
        </w:tc>
        <w:tc>
          <w:tcPr>
            <w:tcW w:w="384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一级指标</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二级指标</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指标数据</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指标单位</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1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基础情况</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用地面积</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m</w:t>
            </w:r>
            <w:r>
              <w:rPr>
                <w:rFonts w:hint="default" w:ascii="Times New Roman" w:hAnsi="Times New Roman" w:eastAsia="仿宋_GB2312" w:cs="Times New Roman"/>
                <w:i w:val="0"/>
                <w:iCs w:val="0"/>
                <w:color w:val="auto"/>
                <w:kern w:val="0"/>
                <w:sz w:val="22"/>
                <w:szCs w:val="22"/>
                <w:highlight w:val="none"/>
                <w:u w:val="none"/>
                <w:vertAlign w:val="superscript"/>
                <w:lang w:val="en-US" w:eastAsia="zh-CN" w:bidi="ar"/>
              </w:rPr>
              <w:t>2</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总产能</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产品产量</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总产值</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营业收入</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利润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缴税</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万元</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员工数</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人</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管理体系认证情况</w:t>
            </w:r>
          </w:p>
        </w:tc>
        <w:tc>
          <w:tcPr>
            <w:tcW w:w="228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（简述质量、环境、能源、职业健康管理体系等认证情况）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获得的主要荣誉</w:t>
            </w:r>
          </w:p>
        </w:tc>
        <w:tc>
          <w:tcPr>
            <w:tcW w:w="228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能评批复文号</w:t>
            </w:r>
          </w:p>
        </w:tc>
        <w:tc>
          <w:tcPr>
            <w:tcW w:w="228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环评批复文号</w:t>
            </w:r>
          </w:p>
        </w:tc>
        <w:tc>
          <w:tcPr>
            <w:tcW w:w="228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综合评分</w:t>
            </w:r>
          </w:p>
        </w:tc>
        <w:tc>
          <w:tcPr>
            <w:tcW w:w="228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绿色供应商</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低风险供应商占比</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上游主要供应商</w:t>
            </w:r>
          </w:p>
        </w:tc>
        <w:tc>
          <w:tcPr>
            <w:tcW w:w="228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（主要原料来源商家）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下游主要销售商</w:t>
            </w:r>
          </w:p>
        </w:tc>
        <w:tc>
          <w:tcPr>
            <w:tcW w:w="228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（生产的主要产品的主要采购商）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绿色回收</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产品回收率</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包装回收率</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能源利用</w:t>
            </w: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电力消费量</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天然气消费量</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水消费量</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综合能耗</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22"/>
                <w:szCs w:val="22"/>
                <w:highlight w:val="none"/>
                <w:u w:val="none"/>
              </w:rPr>
            </w:pPr>
            <w:r>
              <w:rPr>
                <w:rFonts w:hint="default" w:ascii="Times New Roman" w:hAnsi="Times New Roman" w:eastAsia="仿宋_GB2312" w:cs="Times New Roman"/>
                <w:i w:val="0"/>
                <w:iCs w:val="0"/>
                <w:color w:val="auto"/>
                <w:kern w:val="0"/>
                <w:sz w:val="22"/>
                <w:szCs w:val="22"/>
                <w:highlight w:val="none"/>
                <w:u w:val="none"/>
                <w:lang w:val="en-US" w:eastAsia="zh-CN" w:bidi="ar"/>
              </w:rPr>
              <w:t>吨标准煤</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b/>
                <w:bCs/>
                <w:i w:val="0"/>
                <w:iCs w:val="0"/>
                <w:color w:val="auto"/>
                <w:sz w:val="22"/>
                <w:szCs w:val="22"/>
                <w:highlight w:val="none"/>
                <w:u w:val="none"/>
              </w:rPr>
            </w:pPr>
          </w:p>
        </w:tc>
        <w:tc>
          <w:tcPr>
            <w:tcW w:w="1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2"/>
                <w:szCs w:val="22"/>
                <w:highlight w:val="none"/>
                <w:u w:val="none"/>
              </w:rPr>
            </w:pPr>
            <w:r>
              <w:rPr>
                <w:rFonts w:hint="default" w:ascii="Times New Roman" w:hAnsi="Times New Roman" w:eastAsia="仿宋_GB2312" w:cs="Times New Roman"/>
                <w:b/>
                <w:bCs/>
                <w:i w:val="0"/>
                <w:iCs w:val="0"/>
                <w:color w:val="auto"/>
                <w:kern w:val="0"/>
                <w:sz w:val="22"/>
                <w:szCs w:val="22"/>
                <w:highlight w:val="none"/>
                <w:u w:val="none"/>
                <w:lang w:val="en-US" w:eastAsia="zh-CN" w:bidi="ar"/>
              </w:rPr>
              <w:t>单位产品综合能耗</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仿宋_GB2312" w:cs="Times New Roman"/>
                <w:i w:val="0"/>
                <w:iCs w:val="0"/>
                <w:color w:val="auto"/>
                <w:sz w:val="22"/>
                <w:szCs w:val="22"/>
                <w:highlight w:val="none"/>
                <w:u w:val="none"/>
              </w:rPr>
            </w:pPr>
          </w:p>
        </w:tc>
      </w:tr>
    </w:tbl>
    <w:p>
      <w:pPr>
        <w:pStyle w:val="47"/>
        <w:ind w:left="0" w:leftChars="0" w:firstLine="0" w:firstLineChars="0"/>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ind w:left="0" w:leftChars="0" w:firstLine="0" w:firstLineChars="0"/>
        <w:rPr>
          <w:rFonts w:hint="default" w:ascii="Times New Roman" w:hAnsi="Times New Roman" w:eastAsia="黑体" w:cs="Times New Roman"/>
          <w:bCs/>
          <w:color w:val="auto"/>
          <w:sz w:val="32"/>
          <w:szCs w:val="32"/>
          <w:highlight w:val="none"/>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pStyle w:val="47"/>
              <w:ind w:left="0" w:leftChars="0" w:firstLine="0" w:firstLineChars="0"/>
              <w:jc w:val="center"/>
              <w:rPr>
                <w:rFonts w:hint="default" w:ascii="Times New Roman" w:hAnsi="Times New Roman" w:eastAsia="黑体" w:cs="Times New Roman"/>
                <w:color w:val="auto"/>
                <w:kern w:val="2"/>
                <w:sz w:val="48"/>
                <w:szCs w:val="48"/>
                <w:highlight w:val="none"/>
                <w:lang w:val="en-US" w:eastAsia="zh-CN" w:bidi="ar-SA"/>
              </w:rPr>
            </w:pPr>
            <w:r>
              <w:rPr>
                <w:rFonts w:hint="default" w:ascii="Times New Roman" w:hAnsi="Times New Roman" w:eastAsia="黑体" w:cs="Times New Roman"/>
                <w:color w:val="auto"/>
                <w:kern w:val="2"/>
                <w:sz w:val="48"/>
                <w:szCs w:val="48"/>
                <w:highlight w:val="none"/>
                <w:lang w:val="en-US" w:eastAsia="zh-CN" w:bidi="ar-SA"/>
              </w:rPr>
              <w:t>形象页</w:t>
            </w:r>
          </w:p>
          <w:p>
            <w:pPr>
              <w:pStyle w:val="47"/>
              <w:ind w:left="0" w:leftChars="0" w:firstLine="0" w:firstLineChars="0"/>
              <w:jc w:val="center"/>
              <w:rPr>
                <w:rFonts w:hint="default" w:ascii="Times New Roman" w:hAnsi="Times New Roman" w:eastAsia="仿宋_GB2312" w:cs="Times New Roman"/>
                <w:color w:val="auto"/>
                <w:sz w:val="32"/>
                <w:szCs w:val="32"/>
                <w:highlight w:val="none"/>
                <w:vertAlign w:val="baseline"/>
                <w:lang w:val="en-US" w:eastAsia="zh-CN"/>
              </w:rPr>
            </w:pPr>
            <w:r>
              <w:rPr>
                <w:rFonts w:hint="default" w:ascii="Times New Roman" w:hAnsi="Times New Roman" w:eastAsia="仿宋_GB2312" w:cs="Times New Roman"/>
                <w:color w:val="auto"/>
                <w:sz w:val="32"/>
                <w:szCs w:val="32"/>
                <w:highlight w:val="none"/>
                <w:vertAlign w:val="baseline"/>
                <w:lang w:val="en-US" w:eastAsia="zh-CN"/>
              </w:rPr>
              <w:t>（</w:t>
            </w:r>
            <w:r>
              <w:rPr>
                <w:rFonts w:hint="default" w:ascii="Times New Roman" w:hAnsi="Times New Roman" w:cs="Times New Roman"/>
                <w:color w:val="auto"/>
                <w:sz w:val="32"/>
                <w:szCs w:val="32"/>
                <w:highlight w:val="none"/>
                <w:vertAlign w:val="baseline"/>
                <w:lang w:val="en-US" w:eastAsia="zh-CN"/>
              </w:rPr>
              <w:t>体现企业绿色制造形象的图片，不超过6张</w:t>
            </w:r>
            <w:r>
              <w:rPr>
                <w:rFonts w:hint="default" w:ascii="Times New Roman" w:hAnsi="Times New Roman" w:eastAsia="仿宋_GB2312" w:cs="Times New Roman"/>
                <w:color w:val="auto"/>
                <w:sz w:val="32"/>
                <w:szCs w:val="32"/>
                <w:highlight w:val="none"/>
                <w:vertAlign w:val="baseline"/>
                <w:lang w:val="en-US" w:eastAsia="zh-CN"/>
              </w:rPr>
              <w:t>）</w:t>
            </w: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ind w:left="0" w:leftChars="0" w:firstLine="0" w:firstLineChars="0"/>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p>
            <w:pPr>
              <w:pStyle w:val="47"/>
              <w:rPr>
                <w:rFonts w:hint="default" w:ascii="Times New Roman" w:hAnsi="Times New Roman" w:cs="Times New Roman"/>
                <w:color w:val="auto"/>
                <w:highlight w:val="none"/>
                <w:vertAlign w:val="baseline"/>
                <w:lang w:val="en-US" w:eastAsia="zh-CN"/>
              </w:rPr>
            </w:pPr>
          </w:p>
        </w:tc>
      </w:tr>
    </w:tbl>
    <w:p>
      <w:pPr>
        <w:pStyle w:val="47"/>
        <w:ind w:left="0" w:leftChars="0" w:firstLine="0" w:firstLineChars="0"/>
        <w:rPr>
          <w:rFonts w:hint="default" w:ascii="Times New Roman" w:hAnsi="Times New Roman" w:eastAsia="黑体" w:cs="Times New Roman"/>
          <w:bCs/>
          <w:color w:val="auto"/>
          <w:sz w:val="32"/>
          <w:szCs w:val="32"/>
          <w:highlight w:val="none"/>
        </w:rPr>
      </w:pPr>
    </w:p>
    <w:p>
      <w:pPr>
        <w:pStyle w:val="47"/>
        <w:rPr>
          <w:rFonts w:hint="default" w:ascii="Times New Roman" w:hAnsi="Times New Roman" w:eastAsia="黑体" w:cs="Times New Roman"/>
          <w:bCs/>
          <w:color w:val="auto"/>
          <w:sz w:val="32"/>
          <w:szCs w:val="32"/>
          <w:highlight w:val="none"/>
        </w:rPr>
      </w:pPr>
    </w:p>
    <w:p>
      <w:pPr>
        <w:pStyle w:val="47"/>
        <w:ind w:left="0" w:leftChars="0" w:firstLine="0" w:firstLineChars="0"/>
        <w:jc w:val="center"/>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lang w:val="en-US" w:eastAsia="zh-CN"/>
        </w:rPr>
        <w:t>目 录</w:t>
      </w:r>
    </w:p>
    <w:p>
      <w:pPr>
        <w:pStyle w:val="47"/>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p>
    <w:p>
      <w:pPr>
        <w:rPr>
          <w:rFonts w:hint="default" w:ascii="Times New Roman" w:hAnsi="Times New Roman" w:eastAsia="黑体" w:cs="Times New Roman"/>
          <w:bCs/>
          <w:color w:val="auto"/>
          <w:sz w:val="32"/>
          <w:szCs w:val="32"/>
          <w:highlight w:val="none"/>
        </w:rPr>
      </w:pPr>
    </w:p>
    <w:p>
      <w:pPr>
        <w:ind w:firstLine="640" w:firstLineChars="20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一、企业基本情况</w:t>
      </w:r>
    </w:p>
    <w:p>
      <w:pPr>
        <w:spacing w:beforeLines="0" w:after="0" w:afterLines="0" w:line="360" w:lineRule="auto"/>
        <w:ind w:firstLine="600" w:firstLineChars="200"/>
        <w:rPr>
          <w:rFonts w:hint="default" w:ascii="Times New Roman" w:hAnsi="Times New Roman" w:eastAsia="仿宋_GB2312" w:cs="Times New Roman"/>
          <w:b w:val="0"/>
          <w:bCs/>
          <w:color w:val="auto"/>
          <w:sz w:val="32"/>
          <w:szCs w:val="32"/>
          <w:highlight w:val="none"/>
          <w:lang w:val="en-US" w:eastAsia="zh-CN"/>
        </w:rPr>
      </w:pPr>
      <w:r>
        <w:rPr>
          <w:rFonts w:hint="default" w:ascii="Times New Roman" w:hAnsi="Times New Roman" w:eastAsia="仿宋_GB2312" w:cs="Times New Roman"/>
          <w:color w:val="auto"/>
          <w:sz w:val="30"/>
          <w:szCs w:val="30"/>
          <w:highlight w:val="none"/>
        </w:rPr>
        <w:t>概述企业的基本信息、发展现状、主要产品、生产经营状况、供应商以及在绿色发展方面开展的重点工作及取得的成绩等。</w:t>
      </w:r>
    </w:p>
    <w:p>
      <w:pPr>
        <w:spacing w:beforeLines="0" w:after="0" w:afterLines="0" w:line="360" w:lineRule="auto"/>
        <w:ind w:firstLine="640" w:firstLineChars="200"/>
        <w:rPr>
          <w:rFonts w:hint="default" w:ascii="Times New Roman" w:hAnsi="Times New Roman" w:eastAsia="黑体" w:cs="Times New Roman"/>
          <w:b w:val="0"/>
          <w:bCs/>
          <w:color w:val="auto"/>
          <w:sz w:val="32"/>
          <w:szCs w:val="32"/>
          <w:highlight w:val="none"/>
        </w:rPr>
      </w:pPr>
      <w:r>
        <w:rPr>
          <w:rFonts w:hint="default" w:ascii="Times New Roman" w:hAnsi="Times New Roman" w:eastAsia="黑体" w:cs="Times New Roman"/>
          <w:b w:val="0"/>
          <w:bCs/>
          <w:color w:val="auto"/>
          <w:sz w:val="32"/>
          <w:szCs w:val="32"/>
          <w:highlight w:val="none"/>
          <w:lang w:val="en-US" w:eastAsia="zh-CN"/>
        </w:rPr>
        <w:t>二</w:t>
      </w:r>
      <w:r>
        <w:rPr>
          <w:rFonts w:hint="default" w:ascii="Times New Roman" w:hAnsi="Times New Roman" w:eastAsia="黑体" w:cs="Times New Roman"/>
          <w:b w:val="0"/>
          <w:bCs/>
          <w:color w:val="auto"/>
          <w:sz w:val="32"/>
          <w:szCs w:val="32"/>
          <w:highlight w:val="none"/>
        </w:rPr>
        <w:t>、绿色供应链创建情况</w:t>
      </w:r>
    </w:p>
    <w:p>
      <w:pPr>
        <w:ind w:firstLine="600" w:firstLineChars="200"/>
        <w:rPr>
          <w:rFonts w:hint="default" w:ascii="Times New Roman" w:hAnsi="Times New Roman" w:eastAsia="仿宋_GB2312" w:cs="Times New Roman"/>
          <w:color w:val="auto"/>
          <w:sz w:val="30"/>
          <w:szCs w:val="30"/>
          <w:highlight w:val="none"/>
          <w:lang w:val="en-US" w:eastAsia="zh-CN"/>
        </w:rPr>
      </w:pPr>
      <w:r>
        <w:rPr>
          <w:rFonts w:hint="default" w:ascii="Times New Roman" w:hAnsi="Times New Roman" w:eastAsia="仿宋_GB2312" w:cs="Times New Roman"/>
          <w:color w:val="auto"/>
          <w:sz w:val="30"/>
          <w:szCs w:val="30"/>
          <w:highlight w:val="none"/>
          <w:lang w:val="en-US" w:eastAsia="zh-CN"/>
        </w:rPr>
        <w:t>对照《绿色供应链管理评价要求》或相关标准要求，对企业基本要求的符合性以及绿色供应链管理战略、实施绿色供应商管理、绿色生产、绿色回收、绿色信息平台建设、绿色信息披露等内容进行情况描述。</w:t>
      </w:r>
    </w:p>
    <w:p>
      <w:pPr>
        <w:ind w:firstLine="600" w:firstLineChars="200"/>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30"/>
          <w:szCs w:val="30"/>
          <w:highlight w:val="none"/>
          <w:lang w:val="en-US" w:eastAsia="zh-CN"/>
        </w:rPr>
        <w:t>1.基本要求的符合性。主要描述</w:t>
      </w:r>
      <w:r>
        <w:rPr>
          <w:rFonts w:hint="default" w:ascii="Times New Roman" w:hAnsi="Times New Roman" w:eastAsia="仿宋_GB2312" w:cs="Times New Roman"/>
          <w:b/>
          <w:bCs/>
          <w:color w:val="auto"/>
          <w:sz w:val="30"/>
          <w:szCs w:val="30"/>
          <w:highlight w:val="none"/>
          <w:lang w:val="en-US" w:eastAsia="zh-CN"/>
        </w:rPr>
        <w:t>基本要求评价表</w:t>
      </w:r>
      <w:r>
        <w:rPr>
          <w:rFonts w:hint="default" w:ascii="Times New Roman" w:hAnsi="Times New Roman" w:eastAsia="仿宋_GB2312" w:cs="Times New Roman"/>
          <w:color w:val="auto"/>
          <w:sz w:val="30"/>
          <w:szCs w:val="30"/>
          <w:highlight w:val="none"/>
          <w:lang w:val="en-US" w:eastAsia="zh-CN"/>
        </w:rPr>
        <w:t>中各项要求的符合情况。</w:t>
      </w:r>
    </w:p>
    <w:p>
      <w:pPr>
        <w:ind w:firstLine="600" w:firstLineChars="200"/>
        <w:rPr>
          <w:rFonts w:hint="default" w:ascii="Times New Roman" w:hAnsi="Times New Roman" w:eastAsia="仿宋_GB2312" w:cs="Times New Roman"/>
          <w:color w:val="auto"/>
          <w:sz w:val="30"/>
          <w:szCs w:val="30"/>
          <w:highlight w:val="none"/>
          <w:lang w:val="en-US" w:eastAsia="zh-CN"/>
        </w:rPr>
      </w:pPr>
      <w:r>
        <w:rPr>
          <w:rFonts w:hint="default" w:ascii="Times New Roman" w:hAnsi="Times New Roman" w:eastAsia="仿宋_GB2312" w:cs="Times New Roman"/>
          <w:color w:val="auto"/>
          <w:sz w:val="30"/>
          <w:szCs w:val="30"/>
          <w:highlight w:val="none"/>
          <w:lang w:val="en-US" w:eastAsia="zh-CN"/>
        </w:rPr>
        <w:t>2.绿色供应链管理战略情况。主要描述企业在绿色供应链管理战略方面开展的工作做法，以及相关标准落实情况。</w:t>
      </w:r>
    </w:p>
    <w:p>
      <w:pPr>
        <w:ind w:firstLine="600" w:firstLineChars="200"/>
        <w:rPr>
          <w:rFonts w:hint="default" w:ascii="Times New Roman" w:hAnsi="Times New Roman" w:eastAsia="仿宋_GB2312" w:cs="Times New Roman"/>
          <w:color w:val="auto"/>
          <w:sz w:val="30"/>
          <w:szCs w:val="30"/>
          <w:highlight w:val="none"/>
          <w:lang w:val="en-US" w:eastAsia="zh-CN"/>
        </w:rPr>
      </w:pPr>
      <w:r>
        <w:rPr>
          <w:rFonts w:hint="default" w:ascii="Times New Roman" w:hAnsi="Times New Roman" w:eastAsia="仿宋_GB2312" w:cs="Times New Roman"/>
          <w:color w:val="auto"/>
          <w:sz w:val="30"/>
          <w:szCs w:val="30"/>
          <w:highlight w:val="none"/>
          <w:lang w:val="en-US" w:eastAsia="zh-CN"/>
        </w:rPr>
        <w:t>3.绿色供应商管理情况。主要描述企业绿色供应商管理方面开展的工作做法，以及相关标准落实情况。</w:t>
      </w:r>
    </w:p>
    <w:p>
      <w:pPr>
        <w:ind w:firstLine="600" w:firstLineChars="200"/>
        <w:rPr>
          <w:rFonts w:hint="default" w:ascii="Times New Roman" w:hAnsi="Times New Roman" w:eastAsia="仿宋_GB2312" w:cs="Times New Roman"/>
          <w:color w:val="auto"/>
          <w:sz w:val="30"/>
          <w:szCs w:val="30"/>
          <w:highlight w:val="none"/>
          <w:lang w:val="en-US" w:eastAsia="zh-CN"/>
        </w:rPr>
      </w:pPr>
      <w:r>
        <w:rPr>
          <w:rFonts w:hint="default" w:ascii="Times New Roman" w:hAnsi="Times New Roman" w:eastAsia="仿宋_GB2312" w:cs="Times New Roman"/>
          <w:color w:val="auto"/>
          <w:sz w:val="30"/>
          <w:szCs w:val="30"/>
          <w:highlight w:val="none"/>
          <w:lang w:val="en-US" w:eastAsia="zh-CN"/>
        </w:rPr>
        <w:t>4.绿色生产情况。主要描述企业绿色生产方面开展工作做法，以及相关标准落实情况。</w:t>
      </w:r>
    </w:p>
    <w:p>
      <w:pPr>
        <w:ind w:firstLine="600" w:firstLineChars="200"/>
        <w:rPr>
          <w:rFonts w:hint="default" w:ascii="Times New Roman" w:hAnsi="Times New Roman" w:eastAsia="仿宋_GB2312" w:cs="Times New Roman"/>
          <w:color w:val="auto"/>
          <w:sz w:val="30"/>
          <w:szCs w:val="30"/>
          <w:highlight w:val="none"/>
          <w:lang w:val="en-US" w:eastAsia="zh-CN"/>
        </w:rPr>
      </w:pPr>
      <w:r>
        <w:rPr>
          <w:rFonts w:hint="default" w:ascii="Times New Roman" w:hAnsi="Times New Roman" w:eastAsia="仿宋_GB2312" w:cs="Times New Roman"/>
          <w:color w:val="auto"/>
          <w:sz w:val="30"/>
          <w:szCs w:val="30"/>
          <w:highlight w:val="none"/>
          <w:lang w:val="en-US" w:eastAsia="zh-CN"/>
        </w:rPr>
        <w:t>5.绿色回收情况。主要描述企业在绿色回收方面开展的工作做法，以及相关标准落实情况。</w:t>
      </w:r>
    </w:p>
    <w:p>
      <w:pPr>
        <w:ind w:firstLine="600" w:firstLineChars="200"/>
        <w:rPr>
          <w:rFonts w:hint="default" w:ascii="Times New Roman" w:hAnsi="Times New Roman" w:eastAsia="仿宋_GB2312" w:cs="Times New Roman"/>
          <w:color w:val="auto"/>
          <w:sz w:val="30"/>
          <w:szCs w:val="30"/>
          <w:highlight w:val="none"/>
          <w:lang w:val="en-US" w:eastAsia="zh-CN"/>
        </w:rPr>
      </w:pPr>
      <w:r>
        <w:rPr>
          <w:rFonts w:hint="default" w:ascii="Times New Roman" w:hAnsi="Times New Roman" w:eastAsia="仿宋_GB2312" w:cs="Times New Roman"/>
          <w:color w:val="auto"/>
          <w:sz w:val="30"/>
          <w:szCs w:val="30"/>
          <w:highlight w:val="none"/>
          <w:lang w:val="en-US" w:eastAsia="zh-CN"/>
        </w:rPr>
        <w:t>6.绿色信息平台建设情况。主要描述企业在绿色信息平台建设方面开展的工作做法，以及相关标准的落实情况。</w:t>
      </w:r>
    </w:p>
    <w:p>
      <w:pPr>
        <w:ind w:firstLine="600" w:firstLineChars="200"/>
        <w:rPr>
          <w:rFonts w:hint="default" w:ascii="Times New Roman" w:hAnsi="Times New Roman" w:eastAsia="仿宋_GB2312" w:cs="Times New Roman"/>
          <w:color w:val="auto"/>
          <w:sz w:val="30"/>
          <w:szCs w:val="30"/>
          <w:highlight w:val="none"/>
          <w:lang w:val="en-US" w:eastAsia="zh-CN"/>
        </w:rPr>
      </w:pPr>
      <w:r>
        <w:rPr>
          <w:rFonts w:hint="default" w:ascii="Times New Roman" w:hAnsi="Times New Roman" w:eastAsia="仿宋_GB2312" w:cs="Times New Roman"/>
          <w:color w:val="auto"/>
          <w:sz w:val="30"/>
          <w:szCs w:val="30"/>
          <w:highlight w:val="none"/>
          <w:lang w:val="en-US" w:eastAsia="zh-CN"/>
        </w:rPr>
        <w:t>7.绿色信息披露情况。主要描述企业在绿色信息披露方面开展的工作做法，以及相关标准的落实情况。</w:t>
      </w:r>
    </w:p>
    <w:p>
      <w:pPr>
        <w:spacing w:before="0" w:beforeLines="0" w:after="0" w:afterLines="0" w:line="360" w:lineRule="auto"/>
        <w:ind w:firstLine="640" w:firstLineChars="200"/>
        <w:rPr>
          <w:rFonts w:hint="default" w:ascii="Times New Roman" w:hAnsi="Times New Roman" w:eastAsia="黑体" w:cs="Times New Roman"/>
          <w:b w:val="0"/>
          <w:bCs/>
          <w:color w:val="auto"/>
          <w:sz w:val="32"/>
          <w:szCs w:val="32"/>
          <w:highlight w:val="none"/>
          <w:lang w:val="en-US" w:eastAsia="zh-CN"/>
        </w:rPr>
      </w:pPr>
      <w:r>
        <w:rPr>
          <w:rFonts w:hint="default" w:ascii="Times New Roman" w:hAnsi="Times New Roman" w:eastAsia="黑体" w:cs="Times New Roman"/>
          <w:b w:val="0"/>
          <w:bCs/>
          <w:color w:val="auto"/>
          <w:sz w:val="32"/>
          <w:szCs w:val="32"/>
          <w:highlight w:val="none"/>
          <w:lang w:val="en-US" w:eastAsia="zh-CN"/>
        </w:rPr>
        <w:t>三</w:t>
      </w:r>
      <w:r>
        <w:rPr>
          <w:rFonts w:hint="default" w:ascii="Times New Roman" w:hAnsi="Times New Roman" w:eastAsia="黑体" w:cs="Times New Roman"/>
          <w:b w:val="0"/>
          <w:bCs/>
          <w:color w:val="auto"/>
          <w:sz w:val="32"/>
          <w:szCs w:val="32"/>
          <w:highlight w:val="none"/>
        </w:rPr>
        <w:t>、评价</w:t>
      </w:r>
      <w:r>
        <w:rPr>
          <w:rFonts w:hint="default" w:ascii="Times New Roman" w:hAnsi="Times New Roman" w:eastAsia="黑体" w:cs="Times New Roman"/>
          <w:b w:val="0"/>
          <w:bCs/>
          <w:color w:val="auto"/>
          <w:sz w:val="32"/>
          <w:szCs w:val="32"/>
          <w:highlight w:val="none"/>
          <w:lang w:val="en-US" w:eastAsia="zh-CN"/>
        </w:rPr>
        <w:t>结果</w:t>
      </w:r>
    </w:p>
    <w:p>
      <w:pPr>
        <w:widowControl/>
        <w:jc w:val="center"/>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lang w:val="en-US" w:eastAsia="zh-CN"/>
        </w:rPr>
        <w:t>评价得分表</w:t>
      </w:r>
    </w:p>
    <w:tbl>
      <w:tblPr>
        <w:tblStyle w:val="37"/>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2780"/>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224" w:type="dxa"/>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基本要求</w:t>
            </w:r>
          </w:p>
        </w:tc>
        <w:tc>
          <w:tcPr>
            <w:tcW w:w="6676" w:type="dxa"/>
            <w:gridSpan w:val="2"/>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□符合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vMerge w:val="restart"/>
            <w:noWrap w:val="0"/>
            <w:vAlign w:val="center"/>
          </w:tcPr>
          <w:p>
            <w:pPr>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一级指标得分情况</w:t>
            </w:r>
          </w:p>
        </w:tc>
        <w:tc>
          <w:tcPr>
            <w:tcW w:w="2780" w:type="dxa"/>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2"/>
                <w:sz w:val="28"/>
                <w:szCs w:val="28"/>
                <w:highlight w:val="none"/>
                <w:lang w:val="en-US" w:eastAsia="zh-CN"/>
              </w:rPr>
              <w:t>绿色供应链管理战略</w:t>
            </w:r>
          </w:p>
        </w:tc>
        <w:tc>
          <w:tcPr>
            <w:tcW w:w="3896" w:type="dxa"/>
            <w:noWrap w:val="0"/>
            <w:vAlign w:val="center"/>
          </w:tcPr>
          <w:p>
            <w:pPr>
              <w:jc w:val="center"/>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vMerge w:val="continue"/>
            <w:noWrap w:val="0"/>
            <w:vAlign w:val="center"/>
          </w:tcPr>
          <w:p>
            <w:pPr>
              <w:jc w:val="center"/>
              <w:rPr>
                <w:rFonts w:hint="default" w:ascii="Times New Roman" w:hAnsi="Times New Roman" w:eastAsia="仿宋_GB2312" w:cs="Times New Roman"/>
                <w:color w:val="auto"/>
                <w:sz w:val="28"/>
                <w:szCs w:val="28"/>
                <w:highlight w:val="none"/>
                <w:lang w:val="en-US" w:eastAsia="zh-CN"/>
              </w:rPr>
            </w:pPr>
          </w:p>
        </w:tc>
        <w:tc>
          <w:tcPr>
            <w:tcW w:w="2780" w:type="dxa"/>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2"/>
                <w:sz w:val="28"/>
                <w:szCs w:val="28"/>
                <w:highlight w:val="none"/>
                <w:lang w:val="en-US" w:eastAsia="zh-CN"/>
              </w:rPr>
              <w:t>绿色供应商管理</w:t>
            </w:r>
          </w:p>
        </w:tc>
        <w:tc>
          <w:tcPr>
            <w:tcW w:w="3896" w:type="dxa"/>
            <w:noWrap w:val="0"/>
            <w:vAlign w:val="center"/>
          </w:tcPr>
          <w:p>
            <w:pPr>
              <w:jc w:val="center"/>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vMerge w:val="continue"/>
            <w:noWrap w:val="0"/>
            <w:vAlign w:val="center"/>
          </w:tcPr>
          <w:p>
            <w:pPr>
              <w:jc w:val="center"/>
              <w:rPr>
                <w:rFonts w:hint="default" w:ascii="Times New Roman" w:hAnsi="Times New Roman" w:eastAsia="仿宋_GB2312" w:cs="Times New Roman"/>
                <w:color w:val="auto"/>
                <w:sz w:val="28"/>
                <w:szCs w:val="28"/>
                <w:highlight w:val="none"/>
                <w:lang w:val="en-US" w:eastAsia="zh-CN"/>
              </w:rPr>
            </w:pPr>
          </w:p>
        </w:tc>
        <w:tc>
          <w:tcPr>
            <w:tcW w:w="2780" w:type="dxa"/>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2"/>
                <w:sz w:val="28"/>
                <w:szCs w:val="28"/>
                <w:highlight w:val="none"/>
                <w:lang w:val="en-US" w:eastAsia="zh-CN"/>
              </w:rPr>
              <w:t>绿色生产</w:t>
            </w:r>
          </w:p>
        </w:tc>
        <w:tc>
          <w:tcPr>
            <w:tcW w:w="3896" w:type="dxa"/>
            <w:noWrap w:val="0"/>
            <w:vAlign w:val="center"/>
          </w:tcPr>
          <w:p>
            <w:pPr>
              <w:jc w:val="center"/>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vMerge w:val="continue"/>
            <w:noWrap w:val="0"/>
            <w:vAlign w:val="center"/>
          </w:tcPr>
          <w:p>
            <w:pPr>
              <w:jc w:val="center"/>
              <w:rPr>
                <w:rFonts w:hint="default" w:ascii="Times New Roman" w:hAnsi="Times New Roman" w:eastAsia="仿宋_GB2312" w:cs="Times New Roman"/>
                <w:color w:val="auto"/>
                <w:sz w:val="28"/>
                <w:szCs w:val="28"/>
                <w:highlight w:val="none"/>
                <w:lang w:val="en-US" w:eastAsia="zh-CN"/>
              </w:rPr>
            </w:pPr>
          </w:p>
        </w:tc>
        <w:tc>
          <w:tcPr>
            <w:tcW w:w="2780" w:type="dxa"/>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2"/>
                <w:sz w:val="28"/>
                <w:szCs w:val="28"/>
                <w:highlight w:val="none"/>
                <w:lang w:val="en-US" w:eastAsia="zh-CN"/>
              </w:rPr>
              <w:t>绿色回收</w:t>
            </w:r>
          </w:p>
        </w:tc>
        <w:tc>
          <w:tcPr>
            <w:tcW w:w="3896" w:type="dxa"/>
            <w:noWrap w:val="0"/>
            <w:vAlign w:val="center"/>
          </w:tcPr>
          <w:p>
            <w:pPr>
              <w:jc w:val="center"/>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vMerge w:val="continue"/>
            <w:noWrap w:val="0"/>
            <w:vAlign w:val="center"/>
          </w:tcPr>
          <w:p>
            <w:pPr>
              <w:jc w:val="center"/>
              <w:rPr>
                <w:rFonts w:hint="default" w:ascii="Times New Roman" w:hAnsi="Times New Roman" w:eastAsia="仿宋_GB2312" w:cs="Times New Roman"/>
                <w:color w:val="auto"/>
                <w:sz w:val="28"/>
                <w:szCs w:val="28"/>
                <w:highlight w:val="none"/>
                <w:lang w:val="en-US" w:eastAsia="zh-CN"/>
              </w:rPr>
            </w:pPr>
          </w:p>
        </w:tc>
        <w:tc>
          <w:tcPr>
            <w:tcW w:w="2780" w:type="dxa"/>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2"/>
                <w:sz w:val="28"/>
                <w:szCs w:val="28"/>
                <w:highlight w:val="none"/>
                <w:lang w:val="en-US" w:eastAsia="zh-CN"/>
              </w:rPr>
              <w:t>绿色信息平台建设</w:t>
            </w:r>
          </w:p>
        </w:tc>
        <w:tc>
          <w:tcPr>
            <w:tcW w:w="3896" w:type="dxa"/>
            <w:noWrap w:val="0"/>
            <w:vAlign w:val="center"/>
          </w:tcPr>
          <w:p>
            <w:pPr>
              <w:jc w:val="center"/>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vMerge w:val="continue"/>
            <w:noWrap w:val="0"/>
            <w:vAlign w:val="center"/>
          </w:tcPr>
          <w:p>
            <w:pPr>
              <w:jc w:val="center"/>
              <w:rPr>
                <w:rFonts w:hint="default" w:ascii="Times New Roman" w:hAnsi="Times New Roman" w:eastAsia="仿宋_GB2312" w:cs="Times New Roman"/>
                <w:color w:val="auto"/>
                <w:sz w:val="28"/>
                <w:szCs w:val="28"/>
                <w:highlight w:val="none"/>
                <w:lang w:val="en-US" w:eastAsia="zh-CN"/>
              </w:rPr>
            </w:pPr>
          </w:p>
        </w:tc>
        <w:tc>
          <w:tcPr>
            <w:tcW w:w="2780" w:type="dxa"/>
            <w:noWrap w:val="0"/>
            <w:vAlign w:val="center"/>
          </w:tcPr>
          <w:p>
            <w:pP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2"/>
                <w:sz w:val="28"/>
                <w:szCs w:val="28"/>
                <w:highlight w:val="none"/>
                <w:lang w:val="en-US" w:eastAsia="zh-CN"/>
              </w:rPr>
              <w:t>绿色信息披露</w:t>
            </w:r>
          </w:p>
        </w:tc>
        <w:tc>
          <w:tcPr>
            <w:tcW w:w="3896" w:type="dxa"/>
            <w:noWrap w:val="0"/>
            <w:vAlign w:val="center"/>
          </w:tcPr>
          <w:p>
            <w:pPr>
              <w:jc w:val="center"/>
              <w:rPr>
                <w:rFonts w:hint="default" w:ascii="Times New Roman" w:hAnsi="Times New Roman" w:eastAsia="仿宋_GB2312" w:cs="Times New Roman"/>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4" w:type="dxa"/>
            <w:gridSpan w:val="2"/>
            <w:noWrap w:val="0"/>
            <w:vAlign w:val="center"/>
          </w:tcPr>
          <w:p>
            <w:pPr>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kern w:val="2"/>
                <w:sz w:val="28"/>
                <w:szCs w:val="28"/>
                <w:highlight w:val="none"/>
                <w:lang w:val="en-US" w:eastAsia="zh-CN"/>
              </w:rPr>
              <w:t>上一年度</w:t>
            </w:r>
            <w:r>
              <w:rPr>
                <w:rFonts w:hint="default" w:ascii="Times New Roman" w:hAnsi="Times New Roman" w:eastAsia="仿宋_GB2312" w:cs="Times New Roman"/>
                <w:color w:val="auto"/>
                <w:sz w:val="28"/>
                <w:szCs w:val="28"/>
                <w:highlight w:val="none"/>
                <w:lang w:val="en-US" w:eastAsia="zh-CN"/>
              </w:rPr>
              <w:t>总得分</w:t>
            </w:r>
          </w:p>
        </w:tc>
        <w:tc>
          <w:tcPr>
            <w:tcW w:w="3896" w:type="dxa"/>
            <w:noWrap w:val="0"/>
            <w:vAlign w:val="center"/>
          </w:tcPr>
          <w:p>
            <w:pPr>
              <w:jc w:val="center"/>
              <w:rPr>
                <w:rFonts w:hint="default" w:ascii="Times New Roman" w:hAnsi="Times New Roman" w:eastAsia="仿宋_GB2312" w:cs="Times New Roman"/>
                <w:color w:val="auto"/>
                <w:sz w:val="28"/>
                <w:szCs w:val="28"/>
                <w:highlight w:val="none"/>
              </w:rPr>
            </w:pPr>
          </w:p>
        </w:tc>
      </w:tr>
    </w:tbl>
    <w:p>
      <w:pPr>
        <w:bidi w:val="0"/>
        <w:rPr>
          <w:rFonts w:hint="default" w:ascii="Times New Roman" w:hAnsi="Times New Roman" w:cs="Times New Roman"/>
          <w:color w:val="auto"/>
          <w:highlight w:val="none"/>
        </w:rPr>
      </w:pPr>
    </w:p>
    <w:p>
      <w:pPr>
        <w:bidi w:val="0"/>
        <w:rPr>
          <w:rFonts w:hint="default" w:ascii="Times New Roman" w:hAnsi="Times New Roman" w:cs="Times New Roman"/>
          <w:color w:val="auto"/>
          <w:highlight w:val="none"/>
          <w:lang w:eastAsia="zh-CN"/>
        </w:rPr>
      </w:pPr>
    </w:p>
    <w:p>
      <w:pPr>
        <w:ind w:firstLine="640" w:firstLineChars="200"/>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lang w:val="en-US" w:eastAsia="zh-CN"/>
        </w:rPr>
        <w:t>四</w:t>
      </w:r>
      <w:r>
        <w:rPr>
          <w:rFonts w:hint="default" w:ascii="Times New Roman" w:hAnsi="Times New Roman" w:eastAsia="黑体" w:cs="Times New Roman"/>
          <w:bCs/>
          <w:color w:val="auto"/>
          <w:sz w:val="32"/>
          <w:szCs w:val="32"/>
          <w:highlight w:val="none"/>
        </w:rPr>
        <w:t>、</w:t>
      </w:r>
      <w:r>
        <w:rPr>
          <w:rFonts w:hint="default" w:ascii="Times New Roman" w:hAnsi="Times New Roman" w:eastAsia="黑体" w:cs="Times New Roman"/>
          <w:bCs/>
          <w:color w:val="auto"/>
          <w:sz w:val="32"/>
          <w:szCs w:val="32"/>
          <w:highlight w:val="none"/>
          <w:lang w:val="en-US" w:eastAsia="zh-CN"/>
        </w:rPr>
        <w:t>下一步工作</w:t>
      </w:r>
    </w:p>
    <w:p>
      <w:pPr>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说明企业未来发展目标，持续推进绿色供应链管理方面拟开展的重点工作，拟实施的重大项目情况等。</w:t>
      </w:r>
    </w:p>
    <w:p>
      <w:pPr>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1.绿色供应链管理未来目标。主要描述各项绩效指标在</w:t>
      </w:r>
      <w:r>
        <w:rPr>
          <w:rFonts w:hint="default" w:ascii="Times New Roman" w:hAnsi="Times New Roman" w:eastAsia="仿宋_GB2312" w:cs="Times New Roman"/>
          <w:color w:val="auto"/>
          <w:kern w:val="0"/>
          <w:sz w:val="32"/>
          <w:szCs w:val="32"/>
          <w:highlight w:val="none"/>
          <w:lang w:val="en-US" w:eastAsia="zh-CN" w:bidi="ar-SA"/>
        </w:rPr>
        <w:t>两年后（202</w:t>
      </w:r>
      <w:r>
        <w:rPr>
          <w:rFonts w:hint="eastAsia" w:ascii="Times New Roman" w:hAnsi="Times New Roman" w:eastAsia="仿宋_GB2312" w:cs="Times New Roman"/>
          <w:color w:val="auto"/>
          <w:kern w:val="0"/>
          <w:sz w:val="32"/>
          <w:szCs w:val="32"/>
          <w:highlight w:val="none"/>
          <w:lang w:val="en-US" w:eastAsia="zh-CN" w:bidi="ar-SA"/>
        </w:rPr>
        <w:t>6</w:t>
      </w:r>
      <w:r>
        <w:rPr>
          <w:rFonts w:hint="default" w:ascii="Times New Roman" w:hAnsi="Times New Roman" w:eastAsia="仿宋_GB2312" w:cs="Times New Roman"/>
          <w:color w:val="auto"/>
          <w:kern w:val="0"/>
          <w:sz w:val="32"/>
          <w:szCs w:val="32"/>
          <w:highlight w:val="none"/>
          <w:lang w:val="en-US" w:eastAsia="zh-CN" w:bidi="ar-SA"/>
        </w:rPr>
        <w:t>年)</w:t>
      </w:r>
      <w:r>
        <w:rPr>
          <w:rFonts w:hint="default" w:ascii="Times New Roman" w:hAnsi="Times New Roman" w:eastAsia="仿宋_GB2312" w:cs="Times New Roman"/>
          <w:color w:val="auto"/>
          <w:sz w:val="32"/>
          <w:szCs w:val="32"/>
          <w:highlight w:val="none"/>
        </w:rPr>
        <w:t>的预期目标。</w:t>
      </w:r>
    </w:p>
    <w:p>
      <w:pPr>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2.绿色供应链管理企业创建重点工作。主要描述企业在</w:t>
      </w:r>
      <w:r>
        <w:rPr>
          <w:rFonts w:hint="default" w:ascii="Times New Roman" w:hAnsi="Times New Roman" w:eastAsia="仿宋_GB2312" w:cs="Times New Roman"/>
          <w:b/>
          <w:bCs/>
          <w:color w:val="auto"/>
          <w:sz w:val="32"/>
          <w:szCs w:val="32"/>
          <w:highlight w:val="none"/>
          <w:lang w:val="en-US" w:eastAsia="zh-CN"/>
        </w:rPr>
        <w:t>近三年</w:t>
      </w:r>
      <w:r>
        <w:rPr>
          <w:rFonts w:hint="default" w:ascii="Times New Roman" w:hAnsi="Times New Roman" w:eastAsia="仿宋_GB2312" w:cs="Times New Roman"/>
          <w:color w:val="auto"/>
          <w:sz w:val="32"/>
          <w:szCs w:val="32"/>
          <w:highlight w:val="none"/>
        </w:rPr>
        <w:t>为持续提升绿色供应链管理水平开展的重点工作任务情况。</w:t>
      </w:r>
    </w:p>
    <w:p>
      <w:pPr>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3.减碳工作。主要描述企业在减少供应链碳排放方面的工作计划和减排目标。</w:t>
      </w:r>
    </w:p>
    <w:p>
      <w:pPr>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4.重点项目情况。填写企业拟建设的绿色供应链相关重点项目汇总表，测算项目节能、节水、节材、减排、降碳和资源综合利用绩效。</w:t>
      </w:r>
    </w:p>
    <w:p>
      <w:pPr>
        <w:pStyle w:val="6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3" w:firstLineChars="200"/>
        <w:jc w:val="center"/>
        <w:textAlignment w:val="auto"/>
        <w:outlineLvl w:val="9"/>
        <w:rPr>
          <w:rFonts w:hint="default" w:ascii="Times New Roman" w:hAnsi="Times New Roman" w:eastAsia="仿宋_GB2312" w:cs="Times New Roman"/>
          <w:b/>
          <w:bCs/>
          <w:color w:val="auto"/>
          <w:kern w:val="0"/>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表xx 绿色供应链相关重点项目汇总表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578"/>
        <w:gridCol w:w="1827"/>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highlight w:val="none"/>
                <w:vertAlign w:val="baseline"/>
                <w:lang w:val="en-US" w:eastAsia="zh-CN"/>
              </w:rPr>
            </w:pPr>
            <w:r>
              <w:rPr>
                <w:rFonts w:hint="default" w:ascii="Times New Roman" w:hAnsi="Times New Roman" w:eastAsia="仿宋_GB2312" w:cs="Times New Roman"/>
                <w:b w:val="0"/>
                <w:bCs w:val="0"/>
                <w:color w:val="auto"/>
                <w:sz w:val="28"/>
                <w:szCs w:val="28"/>
                <w:highlight w:val="none"/>
                <w:vertAlign w:val="baseline"/>
                <w:lang w:val="en-US" w:eastAsia="zh-CN"/>
              </w:rPr>
              <w:t>序号</w:t>
            </w: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highlight w:val="none"/>
                <w:vertAlign w:val="baseline"/>
                <w:lang w:val="en-US" w:eastAsia="zh-CN"/>
              </w:rPr>
            </w:pPr>
            <w:r>
              <w:rPr>
                <w:rFonts w:hint="default" w:ascii="Times New Roman" w:hAnsi="Times New Roman" w:eastAsia="仿宋_GB2312" w:cs="Times New Roman"/>
                <w:b w:val="0"/>
                <w:bCs w:val="0"/>
                <w:color w:val="auto"/>
                <w:sz w:val="28"/>
                <w:szCs w:val="28"/>
                <w:highlight w:val="none"/>
                <w:vertAlign w:val="baseline"/>
                <w:lang w:val="en-US" w:eastAsia="zh-CN"/>
              </w:rPr>
              <w:t>项目名称</w:t>
            </w:r>
          </w:p>
        </w:tc>
        <w:tc>
          <w:tcPr>
            <w:tcW w:w="1072"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highlight w:val="none"/>
                <w:vertAlign w:val="baseline"/>
                <w:lang w:val="en-US" w:eastAsia="zh-CN"/>
              </w:rPr>
            </w:pPr>
            <w:r>
              <w:rPr>
                <w:rFonts w:hint="default" w:ascii="Times New Roman" w:hAnsi="Times New Roman" w:eastAsia="仿宋_GB2312" w:cs="Times New Roman"/>
                <w:b w:val="0"/>
                <w:bCs w:val="0"/>
                <w:color w:val="auto"/>
                <w:sz w:val="28"/>
                <w:szCs w:val="28"/>
                <w:highlight w:val="none"/>
                <w:vertAlign w:val="baseline"/>
                <w:lang w:val="en-US" w:eastAsia="zh-CN"/>
              </w:rPr>
              <w:t>项目内容</w:t>
            </w: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highlight w:val="none"/>
                <w:vertAlign w:val="baseline"/>
                <w:lang w:val="en-US" w:eastAsia="zh-CN"/>
              </w:rPr>
            </w:pPr>
            <w:r>
              <w:rPr>
                <w:rFonts w:hint="default" w:ascii="Times New Roman" w:hAnsi="Times New Roman" w:eastAsia="仿宋_GB2312" w:cs="Times New Roman"/>
                <w:b w:val="0"/>
                <w:bCs w:val="0"/>
                <w:color w:val="auto"/>
                <w:sz w:val="28"/>
                <w:szCs w:val="28"/>
                <w:highlight w:val="none"/>
                <w:vertAlign w:val="baseline"/>
                <w:lang w:val="en-US" w:eastAsia="zh-CN"/>
              </w:rPr>
              <w:t>项目建设期限</w:t>
            </w: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highlight w:val="none"/>
                <w:vertAlign w:val="baseline"/>
                <w:lang w:val="en-US" w:eastAsia="zh-CN"/>
              </w:rPr>
            </w:pPr>
            <w:r>
              <w:rPr>
                <w:rFonts w:hint="default" w:ascii="Times New Roman" w:hAnsi="Times New Roman" w:eastAsia="仿宋_GB2312" w:cs="Times New Roman"/>
                <w:b w:val="0"/>
                <w:bCs w:val="0"/>
                <w:color w:val="auto"/>
                <w:sz w:val="28"/>
                <w:szCs w:val="28"/>
                <w:highlight w:val="none"/>
                <w:vertAlign w:val="baseline"/>
                <w:lang w:val="en-US" w:eastAsia="zh-CN"/>
              </w:rPr>
              <w:t>项目投资估算</w:t>
            </w: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highlight w:val="none"/>
                <w:vertAlign w:val="baseline"/>
                <w:lang w:val="en-US" w:eastAsia="zh-CN"/>
              </w:rPr>
            </w:pPr>
            <w:r>
              <w:rPr>
                <w:rFonts w:hint="default" w:ascii="Times New Roman" w:hAnsi="Times New Roman" w:eastAsia="仿宋_GB2312" w:cs="Times New Roman"/>
                <w:b w:val="0"/>
                <w:bCs w:val="0"/>
                <w:color w:val="auto"/>
                <w:sz w:val="28"/>
                <w:szCs w:val="28"/>
                <w:highlight w:val="none"/>
                <w:vertAlign w:val="baseline"/>
                <w:lang w:val="en-US" w:eastAsia="zh-CN"/>
              </w:rPr>
              <w:t>项目效益分析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072"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072"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1072"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c>
          <w:tcPr>
            <w:tcW w:w="833" w:type="pct"/>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highlight w:val="none"/>
                <w:vertAlign w:val="baseline"/>
                <w:lang w:val="en-US" w:eastAsia="zh-CN"/>
              </w:rPr>
            </w:pPr>
          </w:p>
        </w:tc>
      </w:tr>
    </w:tbl>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spacing w:before="156" w:beforeLines="50" w:after="312" w:afterLines="100" w:line="360" w:lineRule="auto"/>
        <w:ind w:firstLine="640" w:firstLineChars="200"/>
        <w:rPr>
          <w:rFonts w:hint="default" w:ascii="Times New Roman" w:hAnsi="Times New Roman" w:eastAsia="黑体" w:cs="Times New Roman"/>
          <w:bCs/>
          <w:color w:val="auto"/>
          <w:sz w:val="44"/>
          <w:szCs w:val="44"/>
          <w:highlight w:val="none"/>
        </w:rPr>
      </w:pPr>
      <w:r>
        <w:rPr>
          <w:rFonts w:hint="default" w:ascii="Times New Roman" w:hAnsi="Times New Roman" w:eastAsia="黑体" w:cs="Times New Roman"/>
          <w:b w:val="0"/>
          <w:bCs/>
          <w:color w:val="auto"/>
          <w:sz w:val="32"/>
          <w:szCs w:val="32"/>
          <w:highlight w:val="none"/>
          <w:lang w:val="en-US" w:eastAsia="zh-CN"/>
        </w:rPr>
        <w:t>五、</w:t>
      </w:r>
      <w:r>
        <w:rPr>
          <w:rFonts w:hint="default" w:ascii="Times New Roman" w:hAnsi="Times New Roman" w:eastAsia="黑体" w:cs="Times New Roman"/>
          <w:b w:val="0"/>
          <w:bCs/>
          <w:color w:val="auto"/>
          <w:sz w:val="32"/>
          <w:szCs w:val="32"/>
          <w:highlight w:val="none"/>
        </w:rPr>
        <w:t>绿色供应链管理企业创建自评表</w:t>
      </w:r>
    </w:p>
    <w:p>
      <w:pPr>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依据企业情况</w:t>
      </w:r>
      <w:r>
        <w:rPr>
          <w:rFonts w:hint="default" w:ascii="Times New Roman" w:hAnsi="Times New Roman" w:eastAsia="仿宋_GB2312" w:cs="Times New Roman"/>
          <w:color w:val="auto"/>
          <w:sz w:val="32"/>
          <w:szCs w:val="32"/>
          <w:highlight w:val="none"/>
          <w:lang w:val="en-US" w:eastAsia="zh-CN"/>
        </w:rPr>
        <w:t>和评价情况填写下表</w:t>
      </w:r>
      <w:r>
        <w:rPr>
          <w:rFonts w:hint="default" w:ascii="Times New Roman" w:hAnsi="Times New Roman" w:eastAsia="仿宋_GB2312" w:cs="Times New Roman"/>
          <w:color w:val="auto"/>
          <w:sz w:val="32"/>
          <w:szCs w:val="32"/>
          <w:highlight w:val="none"/>
        </w:rPr>
        <w:t>。</w:t>
      </w:r>
    </w:p>
    <w:p>
      <w:pPr>
        <w:widowControl/>
        <w:jc w:val="center"/>
        <w:rPr>
          <w:rFonts w:hint="default" w:ascii="Times New Roman" w:hAnsi="Times New Roman" w:eastAsia="黑体" w:cs="Times New Roman"/>
          <w:bCs/>
          <w:color w:val="auto"/>
          <w:sz w:val="28"/>
          <w:szCs w:val="28"/>
          <w:highlight w:val="none"/>
        </w:rPr>
      </w:pPr>
      <w:r>
        <w:rPr>
          <w:rFonts w:hint="default" w:ascii="Times New Roman" w:hAnsi="Times New Roman" w:eastAsia="黑体" w:cs="Times New Roman"/>
          <w:bCs/>
          <w:color w:val="auto"/>
          <w:sz w:val="28"/>
          <w:szCs w:val="28"/>
          <w:highlight w:val="none"/>
        </w:rPr>
        <w:t>绿色供应链管理</w:t>
      </w:r>
      <w:r>
        <w:rPr>
          <w:rFonts w:hint="default" w:ascii="Times New Roman" w:hAnsi="Times New Roman" w:eastAsia="黑体" w:cs="Times New Roman"/>
          <w:bCs/>
          <w:color w:val="auto"/>
          <w:sz w:val="28"/>
          <w:szCs w:val="28"/>
          <w:highlight w:val="none"/>
          <w:lang w:eastAsia="zh-CN"/>
        </w:rPr>
        <w:t>企业</w:t>
      </w:r>
      <w:r>
        <w:rPr>
          <w:rFonts w:hint="default" w:ascii="Times New Roman" w:hAnsi="Times New Roman" w:eastAsia="黑体" w:cs="Times New Roman"/>
          <w:bCs/>
          <w:color w:val="auto"/>
          <w:sz w:val="28"/>
          <w:szCs w:val="28"/>
          <w:highlight w:val="none"/>
          <w:lang w:val="en-US" w:eastAsia="zh-CN"/>
        </w:rPr>
        <w:t>基本</w:t>
      </w:r>
      <w:r>
        <w:rPr>
          <w:rFonts w:hint="default" w:ascii="Times New Roman" w:hAnsi="Times New Roman" w:eastAsia="黑体" w:cs="Times New Roman"/>
          <w:bCs/>
          <w:color w:val="auto"/>
          <w:sz w:val="28"/>
          <w:szCs w:val="28"/>
          <w:highlight w:val="none"/>
        </w:rPr>
        <w:t>要求评价表</w:t>
      </w:r>
    </w:p>
    <w:tbl>
      <w:tblPr>
        <w:tblStyle w:val="3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2217"/>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219" w:type="dxa"/>
            <w:vAlign w:val="center"/>
          </w:tcPr>
          <w:p>
            <w:pPr>
              <w:adjustRightInd w:val="0"/>
              <w:snapToGrid w:val="0"/>
              <w:jc w:val="center"/>
              <w:rPr>
                <w:rFonts w:hint="default" w:ascii="Times New Roman" w:hAnsi="Times New Roman" w:eastAsia="仿宋_GB2312" w:cs="Times New Roman"/>
                <w:b/>
                <w:color w:val="auto"/>
                <w:kern w:val="0"/>
                <w:sz w:val="28"/>
                <w:szCs w:val="28"/>
                <w:highlight w:val="none"/>
              </w:rPr>
            </w:pPr>
            <w:r>
              <w:rPr>
                <w:rFonts w:hint="default" w:ascii="Times New Roman" w:hAnsi="Times New Roman" w:eastAsia="仿宋_GB2312" w:cs="Times New Roman"/>
                <w:b/>
                <w:color w:val="auto"/>
                <w:kern w:val="0"/>
                <w:sz w:val="28"/>
                <w:szCs w:val="28"/>
                <w:highlight w:val="none"/>
              </w:rPr>
              <w:t>一般要求</w:t>
            </w:r>
          </w:p>
        </w:tc>
        <w:tc>
          <w:tcPr>
            <w:tcW w:w="2217" w:type="dxa"/>
            <w:vAlign w:val="center"/>
          </w:tcPr>
          <w:p>
            <w:pPr>
              <w:adjustRightInd w:val="0"/>
              <w:snapToGrid w:val="0"/>
              <w:jc w:val="center"/>
              <w:rPr>
                <w:rFonts w:hint="default" w:ascii="Times New Roman" w:hAnsi="Times New Roman" w:eastAsia="仿宋_GB2312" w:cs="Times New Roman"/>
                <w:b/>
                <w:color w:val="auto"/>
                <w:kern w:val="0"/>
                <w:sz w:val="28"/>
                <w:szCs w:val="28"/>
                <w:highlight w:val="none"/>
              </w:rPr>
            </w:pPr>
            <w:r>
              <w:rPr>
                <w:rFonts w:hint="default" w:ascii="Times New Roman" w:hAnsi="Times New Roman" w:eastAsia="仿宋_GB2312" w:cs="Times New Roman"/>
                <w:b/>
                <w:color w:val="auto"/>
                <w:kern w:val="0"/>
                <w:sz w:val="28"/>
                <w:szCs w:val="28"/>
                <w:highlight w:val="none"/>
              </w:rPr>
              <w:t>是否符合</w:t>
            </w:r>
          </w:p>
        </w:tc>
        <w:tc>
          <w:tcPr>
            <w:tcW w:w="2086" w:type="dxa"/>
            <w:vAlign w:val="center"/>
          </w:tcPr>
          <w:p>
            <w:pPr>
              <w:adjustRightInd w:val="0"/>
              <w:snapToGrid w:val="0"/>
              <w:jc w:val="center"/>
              <w:rPr>
                <w:rFonts w:hint="default" w:ascii="Times New Roman" w:hAnsi="Times New Roman" w:eastAsia="仿宋_GB2312" w:cs="Times New Roman"/>
                <w:b/>
                <w:color w:val="auto"/>
                <w:kern w:val="0"/>
                <w:sz w:val="28"/>
                <w:szCs w:val="28"/>
                <w:highlight w:val="none"/>
              </w:rPr>
            </w:pPr>
            <w:r>
              <w:rPr>
                <w:rFonts w:hint="default" w:ascii="Times New Roman" w:hAnsi="Times New Roman" w:eastAsia="仿宋_GB2312" w:cs="Times New Roman"/>
                <w:b/>
                <w:color w:val="auto"/>
                <w:kern w:val="0"/>
                <w:sz w:val="28"/>
                <w:szCs w:val="28"/>
                <w:highlight w:val="none"/>
              </w:rPr>
              <w:t>证明材料索引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219" w:type="dxa"/>
            <w:vAlign w:val="center"/>
          </w:tcPr>
          <w:p>
            <w:pPr>
              <w:adjustRightInd w:val="0"/>
              <w:snapToGrid w:val="0"/>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具有独立法人资格</w:t>
            </w:r>
            <w:r>
              <w:rPr>
                <w:rFonts w:hint="default" w:ascii="Times New Roman" w:hAnsi="Times New Roman" w:eastAsia="仿宋_GB2312" w:cs="Times New Roman"/>
                <w:color w:val="auto"/>
                <w:kern w:val="0"/>
                <w:sz w:val="24"/>
                <w:szCs w:val="24"/>
                <w:highlight w:val="none"/>
                <w:lang w:eastAsia="zh-CN"/>
              </w:rPr>
              <w:t>。</w:t>
            </w:r>
          </w:p>
        </w:tc>
        <w:tc>
          <w:tcPr>
            <w:tcW w:w="2217"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c>
          <w:tcPr>
            <w:tcW w:w="2086"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219" w:type="dxa"/>
            <w:vAlign w:val="center"/>
          </w:tcPr>
          <w:p>
            <w:pPr>
              <w:adjustRightInd w:val="0"/>
              <w:snapToGrid w:val="0"/>
              <w:jc w:val="left"/>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具有较强的行业影响力</w:t>
            </w:r>
            <w:r>
              <w:rPr>
                <w:rFonts w:hint="default" w:ascii="Times New Roman" w:hAnsi="Times New Roman" w:eastAsia="仿宋_GB2312" w:cs="Times New Roman"/>
                <w:color w:val="auto"/>
                <w:kern w:val="0"/>
                <w:sz w:val="24"/>
                <w:szCs w:val="24"/>
                <w:highlight w:val="none"/>
                <w:lang w:eastAsia="zh-CN"/>
              </w:rPr>
              <w:t>。</w:t>
            </w:r>
          </w:p>
        </w:tc>
        <w:tc>
          <w:tcPr>
            <w:tcW w:w="2217"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c>
          <w:tcPr>
            <w:tcW w:w="2086"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4219" w:type="dxa"/>
            <w:vAlign w:val="center"/>
          </w:tcPr>
          <w:p>
            <w:pPr>
              <w:adjustRightInd w:val="0"/>
              <w:snapToGrid w:val="0"/>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具有较完善的能源资源、环境管理体系，各项管理制度健全，符合国家和地方的法律法规及标准规范要求，近三年无重大安全和环境污染事故</w:t>
            </w:r>
            <w:r>
              <w:rPr>
                <w:rFonts w:hint="default" w:ascii="Times New Roman" w:hAnsi="Times New Roman" w:eastAsia="仿宋_GB2312" w:cs="Times New Roman"/>
                <w:color w:val="auto"/>
                <w:kern w:val="0"/>
                <w:sz w:val="24"/>
                <w:szCs w:val="24"/>
                <w:highlight w:val="none"/>
                <w:lang w:eastAsia="zh-CN"/>
              </w:rPr>
              <w:t>。</w:t>
            </w:r>
          </w:p>
        </w:tc>
        <w:tc>
          <w:tcPr>
            <w:tcW w:w="2217"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c>
          <w:tcPr>
            <w:tcW w:w="2086"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4219" w:type="dxa"/>
            <w:vAlign w:val="center"/>
          </w:tcPr>
          <w:p>
            <w:pPr>
              <w:adjustRightInd w:val="0"/>
              <w:snapToGrid w:val="0"/>
              <w:jc w:val="left"/>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拥有数量众多的供应商，在供应商中有很强的影响力，与上下游供应商建立良好的合作关系</w:t>
            </w:r>
            <w:r>
              <w:rPr>
                <w:rFonts w:hint="default" w:ascii="Times New Roman" w:hAnsi="Times New Roman" w:eastAsia="仿宋_GB2312" w:cs="Times New Roman"/>
                <w:color w:val="auto"/>
                <w:kern w:val="0"/>
                <w:sz w:val="24"/>
                <w:szCs w:val="24"/>
                <w:highlight w:val="none"/>
                <w:lang w:eastAsia="zh-CN"/>
              </w:rPr>
              <w:t>。</w:t>
            </w:r>
          </w:p>
        </w:tc>
        <w:tc>
          <w:tcPr>
            <w:tcW w:w="2217"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c>
          <w:tcPr>
            <w:tcW w:w="2086"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4219" w:type="dxa"/>
            <w:vAlign w:val="center"/>
          </w:tcPr>
          <w:p>
            <w:pPr>
              <w:adjustRightInd w:val="0"/>
              <w:snapToGrid w:val="0"/>
              <w:jc w:val="left"/>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有完善的供应商管理体系，建立健全的供应商认证、选择、审核、绩效管理和退出机制</w:t>
            </w:r>
            <w:r>
              <w:rPr>
                <w:rFonts w:hint="default" w:ascii="Times New Roman" w:hAnsi="Times New Roman" w:eastAsia="仿宋_GB2312" w:cs="Times New Roman"/>
                <w:color w:val="auto"/>
                <w:kern w:val="0"/>
                <w:sz w:val="24"/>
                <w:szCs w:val="24"/>
                <w:highlight w:val="none"/>
                <w:lang w:eastAsia="zh-CN"/>
              </w:rPr>
              <w:t>。</w:t>
            </w:r>
          </w:p>
        </w:tc>
        <w:tc>
          <w:tcPr>
            <w:tcW w:w="2217"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c>
          <w:tcPr>
            <w:tcW w:w="2086"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4219" w:type="dxa"/>
            <w:tcBorders>
              <w:bottom w:val="single" w:color="auto" w:sz="4" w:space="0"/>
            </w:tcBorders>
            <w:vAlign w:val="center"/>
          </w:tcPr>
          <w:p>
            <w:pPr>
              <w:adjustRightInd w:val="0"/>
              <w:snapToGrid w:val="0"/>
              <w:jc w:val="left"/>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有健全的财务管理制度，销售盈利能力处于行业领先水平</w:t>
            </w:r>
            <w:r>
              <w:rPr>
                <w:rFonts w:hint="default" w:ascii="Times New Roman" w:hAnsi="Times New Roman" w:eastAsia="仿宋_GB2312" w:cs="Times New Roman"/>
                <w:color w:val="auto"/>
                <w:kern w:val="0"/>
                <w:sz w:val="24"/>
                <w:szCs w:val="24"/>
                <w:highlight w:val="none"/>
                <w:lang w:eastAsia="zh-CN"/>
              </w:rPr>
              <w:t>。</w:t>
            </w:r>
          </w:p>
        </w:tc>
        <w:tc>
          <w:tcPr>
            <w:tcW w:w="2217" w:type="dxa"/>
            <w:tcBorders>
              <w:bottom w:val="single" w:color="auto" w:sz="4" w:space="0"/>
            </w:tcBorders>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c>
          <w:tcPr>
            <w:tcW w:w="2086" w:type="dxa"/>
            <w:tcBorders>
              <w:bottom w:val="single" w:color="auto" w:sz="4" w:space="0"/>
            </w:tcBorders>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4219" w:type="dxa"/>
            <w:vAlign w:val="center"/>
          </w:tcPr>
          <w:p>
            <w:pPr>
              <w:adjustRightInd w:val="0"/>
              <w:snapToGrid w:val="0"/>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对实施绿色供应链管理有明确的工作目标、思路、计划和措施</w:t>
            </w:r>
            <w:r>
              <w:rPr>
                <w:rFonts w:hint="default" w:ascii="Times New Roman" w:hAnsi="Times New Roman" w:eastAsia="仿宋_GB2312" w:cs="Times New Roman"/>
                <w:color w:val="auto"/>
                <w:kern w:val="0"/>
                <w:sz w:val="24"/>
                <w:szCs w:val="24"/>
                <w:highlight w:val="none"/>
                <w:lang w:eastAsia="zh-CN"/>
              </w:rPr>
              <w:t>。</w:t>
            </w:r>
          </w:p>
        </w:tc>
        <w:tc>
          <w:tcPr>
            <w:tcW w:w="2217"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c>
          <w:tcPr>
            <w:tcW w:w="2086" w:type="dxa"/>
            <w:vAlign w:val="center"/>
          </w:tcPr>
          <w:p>
            <w:pPr>
              <w:adjustRightInd w:val="0"/>
              <w:snapToGrid w:val="0"/>
              <w:spacing w:line="360" w:lineRule="auto"/>
              <w:rPr>
                <w:rFonts w:hint="default" w:ascii="Times New Roman" w:hAnsi="Times New Roman" w:eastAsia="仿宋_GB2312" w:cs="Times New Roman"/>
                <w:color w:val="auto"/>
                <w:kern w:val="0"/>
                <w:sz w:val="28"/>
                <w:szCs w:val="28"/>
                <w:highlight w:val="none"/>
              </w:rPr>
            </w:pPr>
          </w:p>
        </w:tc>
      </w:tr>
    </w:tbl>
    <w:p>
      <w:pPr>
        <w:bidi w:val="0"/>
        <w:rPr>
          <w:rFonts w:hint="default" w:ascii="Times New Roman" w:hAnsi="Times New Roman" w:cs="Times New Roman"/>
          <w:color w:val="auto"/>
          <w:highlight w:val="none"/>
        </w:rPr>
      </w:pPr>
    </w:p>
    <w:p>
      <w:pPr>
        <w:bidi w:val="0"/>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widowControl/>
        <w:jc w:val="center"/>
        <w:rPr>
          <w:rFonts w:hint="default" w:ascii="Times New Roman" w:hAnsi="Times New Roman" w:eastAsia="黑体" w:cs="Times New Roman"/>
          <w:bCs/>
          <w:color w:val="auto"/>
          <w:sz w:val="32"/>
          <w:szCs w:val="32"/>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widowControl/>
        <w:jc w:val="center"/>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28"/>
          <w:szCs w:val="28"/>
          <w:highlight w:val="none"/>
        </w:rPr>
        <w:t>绿色供应链管理</w:t>
      </w:r>
      <w:r>
        <w:rPr>
          <w:rFonts w:hint="default" w:ascii="Times New Roman" w:hAnsi="Times New Roman" w:eastAsia="黑体" w:cs="Times New Roman"/>
          <w:bCs/>
          <w:color w:val="auto"/>
          <w:sz w:val="28"/>
          <w:szCs w:val="28"/>
          <w:highlight w:val="none"/>
          <w:lang w:eastAsia="zh-CN"/>
        </w:rPr>
        <w:t>企业</w:t>
      </w:r>
      <w:r>
        <w:rPr>
          <w:rFonts w:hint="default" w:ascii="Times New Roman" w:hAnsi="Times New Roman" w:eastAsia="黑体" w:cs="Times New Roman"/>
          <w:bCs/>
          <w:color w:val="auto"/>
          <w:sz w:val="28"/>
          <w:szCs w:val="28"/>
          <w:highlight w:val="none"/>
        </w:rPr>
        <w:t>评价指标体系</w:t>
      </w:r>
    </w:p>
    <w:p>
      <w:pPr>
        <w:autoSpaceDE w:val="0"/>
        <w:autoSpaceDN w:val="0"/>
        <w:adjustRightInd w:val="0"/>
        <w:jc w:val="center"/>
        <w:rPr>
          <w:rFonts w:hint="default" w:ascii="Times New Roman" w:hAnsi="Times New Roman" w:eastAsia="仿宋_GB2312" w:cs="Times New Roman"/>
          <w:b/>
          <w:color w:val="auto"/>
          <w:kern w:val="0"/>
          <w:sz w:val="30"/>
          <w:szCs w:val="30"/>
          <w:highlight w:val="none"/>
        </w:rPr>
      </w:pPr>
      <w:r>
        <w:rPr>
          <w:rFonts w:hint="default" w:ascii="Times New Roman" w:hAnsi="Times New Roman" w:eastAsia="仿宋_GB2312" w:cs="Times New Roman"/>
          <w:b/>
          <w:color w:val="auto"/>
          <w:kern w:val="0"/>
          <w:sz w:val="30"/>
          <w:szCs w:val="30"/>
          <w:highlight w:val="none"/>
        </w:rPr>
        <w:t>（20</w:t>
      </w:r>
      <w:r>
        <w:rPr>
          <w:rFonts w:hint="default" w:ascii="Times New Roman" w:hAnsi="Times New Roman" w:eastAsia="仿宋_GB2312" w:cs="Times New Roman"/>
          <w:b/>
          <w:color w:val="auto"/>
          <w:kern w:val="0"/>
          <w:sz w:val="30"/>
          <w:szCs w:val="30"/>
          <w:highlight w:val="none"/>
          <w:lang w:val="en-US" w:eastAsia="zh-CN"/>
        </w:rPr>
        <w:t>XX</w:t>
      </w:r>
      <w:r>
        <w:rPr>
          <w:rFonts w:hint="default" w:ascii="Times New Roman" w:hAnsi="Times New Roman" w:eastAsia="仿宋_GB2312" w:cs="Times New Roman"/>
          <w:b/>
          <w:color w:val="auto"/>
          <w:kern w:val="0"/>
          <w:sz w:val="30"/>
          <w:szCs w:val="30"/>
          <w:highlight w:val="none"/>
        </w:rPr>
        <w:t>年）</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898"/>
        <w:gridCol w:w="4466"/>
        <w:gridCol w:w="890"/>
        <w:gridCol w:w="1196"/>
        <w:gridCol w:w="1646"/>
        <w:gridCol w:w="2338"/>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6" w:type="pct"/>
            <w:vAlign w:val="center"/>
          </w:tcPr>
          <w:p>
            <w:pPr>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一级指标</w:t>
            </w:r>
          </w:p>
        </w:tc>
        <w:tc>
          <w:tcPr>
            <w:tcW w:w="317" w:type="pct"/>
            <w:vAlign w:val="center"/>
          </w:tcPr>
          <w:p>
            <w:pPr>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序号</w:t>
            </w:r>
          </w:p>
        </w:tc>
        <w:tc>
          <w:tcPr>
            <w:tcW w:w="1576" w:type="pct"/>
            <w:vAlign w:val="center"/>
          </w:tcPr>
          <w:p>
            <w:pPr>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二级指标</w:t>
            </w:r>
          </w:p>
        </w:tc>
        <w:tc>
          <w:tcPr>
            <w:tcW w:w="314" w:type="pct"/>
            <w:vAlign w:val="center"/>
          </w:tcPr>
          <w:p>
            <w:pPr>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单位</w:t>
            </w:r>
          </w:p>
        </w:tc>
        <w:tc>
          <w:tcPr>
            <w:tcW w:w="422" w:type="pct"/>
            <w:vAlign w:val="center"/>
          </w:tcPr>
          <w:p>
            <w:pPr>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最高分值</w:t>
            </w:r>
          </w:p>
        </w:tc>
        <w:tc>
          <w:tcPr>
            <w:tcW w:w="581" w:type="pct"/>
            <w:vAlign w:val="center"/>
          </w:tcPr>
          <w:p>
            <w:pPr>
              <w:jc w:val="center"/>
              <w:rPr>
                <w:rFonts w:hint="default" w:ascii="Times New Roman" w:hAnsi="Times New Roman" w:eastAsia="仿宋_GB2312" w:cs="Times New Roman"/>
                <w:b/>
                <w:bCs/>
                <w:color w:val="auto"/>
                <w:sz w:val="24"/>
                <w:highlight w:val="none"/>
                <w:lang w:val="en-US" w:eastAsia="zh-CN"/>
              </w:rPr>
            </w:pPr>
            <w:r>
              <w:rPr>
                <w:rFonts w:hint="default" w:ascii="Times New Roman" w:hAnsi="Times New Roman" w:eastAsia="仿宋_GB2312" w:cs="Times New Roman"/>
                <w:b/>
                <w:bCs/>
                <w:color w:val="auto"/>
                <w:sz w:val="24"/>
                <w:highlight w:val="none"/>
                <w:lang w:val="en-US" w:eastAsia="zh-CN"/>
              </w:rPr>
              <w:t>得分</w:t>
            </w:r>
          </w:p>
        </w:tc>
        <w:tc>
          <w:tcPr>
            <w:tcW w:w="825" w:type="pct"/>
            <w:vAlign w:val="center"/>
          </w:tcPr>
          <w:p>
            <w:pPr>
              <w:jc w:val="center"/>
              <w:rPr>
                <w:rFonts w:hint="default" w:ascii="Times New Roman" w:hAnsi="Times New Roman" w:eastAsia="仿宋_GB2312" w:cs="Times New Roman"/>
                <w:b/>
                <w:bCs/>
                <w:color w:val="auto"/>
                <w:sz w:val="24"/>
                <w:highlight w:val="none"/>
                <w:lang w:val="en-US" w:eastAsia="zh-CN"/>
              </w:rPr>
            </w:pPr>
            <w:r>
              <w:rPr>
                <w:rFonts w:hint="default" w:ascii="Times New Roman" w:hAnsi="Times New Roman" w:eastAsia="仿宋_GB2312" w:cs="Times New Roman"/>
                <w:b/>
                <w:bCs/>
                <w:color w:val="auto"/>
                <w:sz w:val="24"/>
                <w:highlight w:val="none"/>
                <w:lang w:val="en-US" w:eastAsia="zh-CN"/>
              </w:rPr>
              <w:t>证明材料索引</w:t>
            </w:r>
          </w:p>
        </w:tc>
        <w:tc>
          <w:tcPr>
            <w:tcW w:w="447" w:type="pct"/>
            <w:vAlign w:val="center"/>
          </w:tcPr>
          <w:p>
            <w:pPr>
              <w:jc w:val="center"/>
              <w:rPr>
                <w:rFonts w:hint="default" w:ascii="Times New Roman" w:hAnsi="Times New Roman" w:eastAsia="仿宋_GB2312" w:cs="Times New Roman"/>
                <w:b/>
                <w:bCs/>
                <w:color w:val="auto"/>
                <w:sz w:val="24"/>
                <w:highlight w:val="none"/>
              </w:rPr>
            </w:pPr>
            <w:r>
              <w:rPr>
                <w:rFonts w:hint="default" w:ascii="Times New Roman" w:hAnsi="Times New Roman" w:eastAsia="仿宋_GB2312" w:cs="Times New Roman"/>
                <w:b/>
                <w:bCs/>
                <w:color w:val="auto"/>
                <w:sz w:val="24"/>
                <w:highlight w:val="none"/>
              </w:rPr>
              <w:t>指标类型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restar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绿色供应链管理</w:t>
            </w:r>
          </w:p>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战略X</w:t>
            </w:r>
            <w:r>
              <w:rPr>
                <w:rFonts w:hint="default" w:ascii="Times New Roman" w:hAnsi="Times New Roman" w:eastAsia="仿宋_GB2312" w:cs="Times New Roman"/>
                <w:color w:val="auto"/>
                <w:sz w:val="24"/>
                <w:highlight w:val="none"/>
                <w:vertAlign w:val="subscript"/>
              </w:rPr>
              <w:t>1</w:t>
            </w: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纳入公司发展规划X</w:t>
            </w:r>
            <w:r>
              <w:rPr>
                <w:rFonts w:hint="default" w:ascii="Times New Roman" w:hAnsi="Times New Roman" w:eastAsia="仿宋_GB2312" w:cs="Times New Roman"/>
                <w:color w:val="auto"/>
                <w:sz w:val="24"/>
                <w:highlight w:val="none"/>
                <w:vertAlign w:val="subscript"/>
              </w:rPr>
              <w:t>11</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8</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制定绿色供应链管理目标X</w:t>
            </w:r>
            <w:r>
              <w:rPr>
                <w:rFonts w:hint="default" w:ascii="Times New Roman" w:hAnsi="Times New Roman" w:eastAsia="仿宋_GB2312" w:cs="Times New Roman"/>
                <w:color w:val="auto"/>
                <w:sz w:val="24"/>
                <w:highlight w:val="none"/>
                <w:vertAlign w:val="subscript"/>
              </w:rPr>
              <w:t>12</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6</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设置专门管理机构X</w:t>
            </w:r>
            <w:r>
              <w:rPr>
                <w:rFonts w:hint="default" w:ascii="Times New Roman" w:hAnsi="Times New Roman" w:eastAsia="仿宋_GB2312" w:cs="Times New Roman"/>
                <w:color w:val="auto"/>
                <w:sz w:val="24"/>
                <w:highlight w:val="none"/>
                <w:vertAlign w:val="subscript"/>
              </w:rPr>
              <w:t>13</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6</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restar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实施绿色供应商</w:t>
            </w:r>
          </w:p>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管理X</w:t>
            </w:r>
            <w:r>
              <w:rPr>
                <w:rFonts w:hint="default" w:ascii="Times New Roman" w:hAnsi="Times New Roman" w:eastAsia="仿宋_GB2312" w:cs="Times New Roman"/>
                <w:color w:val="auto"/>
                <w:sz w:val="24"/>
                <w:highlight w:val="none"/>
                <w:vertAlign w:val="subscript"/>
              </w:rPr>
              <w:t>2</w:t>
            </w: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绿色采购标准制度完善X</w:t>
            </w:r>
            <w:r>
              <w:rPr>
                <w:rFonts w:hint="default" w:ascii="Times New Roman" w:hAnsi="Times New Roman" w:eastAsia="仿宋_GB2312" w:cs="Times New Roman"/>
                <w:color w:val="auto"/>
                <w:sz w:val="24"/>
                <w:highlight w:val="none"/>
                <w:vertAlign w:val="subscript"/>
              </w:rPr>
              <w:t>21</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5</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供应商认证体系完善X</w:t>
            </w:r>
            <w:r>
              <w:rPr>
                <w:rFonts w:hint="default" w:ascii="Times New Roman" w:hAnsi="Times New Roman" w:eastAsia="仿宋_GB2312" w:cs="Times New Roman"/>
                <w:color w:val="auto"/>
                <w:sz w:val="24"/>
                <w:highlight w:val="none"/>
                <w:vertAlign w:val="subscript"/>
              </w:rPr>
              <w:t>22</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6</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对供应商定期审核X</w:t>
            </w:r>
            <w:r>
              <w:rPr>
                <w:rFonts w:hint="default" w:ascii="Times New Roman" w:hAnsi="Times New Roman" w:eastAsia="仿宋_GB2312" w:cs="Times New Roman"/>
                <w:color w:val="auto"/>
                <w:sz w:val="24"/>
                <w:highlight w:val="none"/>
                <w:vertAlign w:val="subscript"/>
              </w:rPr>
              <w:t>23</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7</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供应商绩效评估制度健全X</w:t>
            </w:r>
            <w:r>
              <w:rPr>
                <w:rFonts w:hint="default" w:ascii="Times New Roman" w:hAnsi="Times New Roman" w:eastAsia="仿宋_GB2312" w:cs="Times New Roman"/>
                <w:color w:val="auto"/>
                <w:sz w:val="24"/>
                <w:highlight w:val="none"/>
                <w:vertAlign w:val="subscript"/>
              </w:rPr>
              <w:t>24</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8</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定期对供应商进行培训X</w:t>
            </w:r>
            <w:r>
              <w:rPr>
                <w:rFonts w:hint="default" w:ascii="Times New Roman" w:hAnsi="Times New Roman" w:eastAsia="仿宋_GB2312" w:cs="Times New Roman"/>
                <w:color w:val="auto"/>
                <w:sz w:val="24"/>
                <w:highlight w:val="none"/>
                <w:vertAlign w:val="subscript"/>
              </w:rPr>
              <w:t>25</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3</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9</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低风险供应商占比X</w:t>
            </w:r>
            <w:r>
              <w:rPr>
                <w:rFonts w:hint="default" w:ascii="Times New Roman" w:hAnsi="Times New Roman" w:eastAsia="仿宋_GB2312" w:cs="Times New Roman"/>
                <w:color w:val="auto"/>
                <w:sz w:val="24"/>
                <w:highlight w:val="none"/>
                <w:vertAlign w:val="subscript"/>
              </w:rPr>
              <w:t>26</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4</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restar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绿色生产X</w:t>
            </w:r>
            <w:r>
              <w:rPr>
                <w:rFonts w:hint="default" w:ascii="Times New Roman" w:hAnsi="Times New Roman" w:eastAsia="仿宋_GB2312" w:cs="Times New Roman"/>
                <w:color w:val="auto"/>
                <w:sz w:val="24"/>
                <w:highlight w:val="none"/>
                <w:vertAlign w:val="subscript"/>
              </w:rPr>
              <w:t>3</w:t>
            </w: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10</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节能减排环保合规X</w:t>
            </w:r>
            <w:r>
              <w:rPr>
                <w:rFonts w:hint="default" w:ascii="Times New Roman" w:hAnsi="Times New Roman" w:eastAsia="仿宋_GB2312" w:cs="Times New Roman"/>
                <w:color w:val="auto"/>
                <w:sz w:val="24"/>
                <w:highlight w:val="none"/>
                <w:vertAlign w:val="subscript"/>
              </w:rPr>
              <w:t>31</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10</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11</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符合有害物质限制使用管理办法X</w:t>
            </w:r>
            <w:r>
              <w:rPr>
                <w:rFonts w:hint="default" w:ascii="Times New Roman" w:hAnsi="Times New Roman" w:eastAsia="仿宋_GB2312" w:cs="Times New Roman"/>
                <w:color w:val="auto"/>
                <w:sz w:val="24"/>
                <w:highlight w:val="none"/>
                <w:vertAlign w:val="subscript"/>
              </w:rPr>
              <w:t>32</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10</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restar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绿色回收X</w:t>
            </w:r>
            <w:r>
              <w:rPr>
                <w:rFonts w:hint="default" w:ascii="Times New Roman" w:hAnsi="Times New Roman" w:eastAsia="仿宋_GB2312" w:cs="Times New Roman"/>
                <w:color w:val="auto"/>
                <w:sz w:val="24"/>
                <w:highlight w:val="none"/>
                <w:vertAlign w:val="subscript"/>
              </w:rPr>
              <w:t>4</w:t>
            </w: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12</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产品回收率X</w:t>
            </w:r>
            <w:r>
              <w:rPr>
                <w:rFonts w:hint="default" w:ascii="Times New Roman" w:hAnsi="Times New Roman" w:eastAsia="仿宋_GB2312" w:cs="Times New Roman"/>
                <w:color w:val="auto"/>
                <w:sz w:val="24"/>
                <w:highlight w:val="none"/>
                <w:vertAlign w:val="subscript"/>
              </w:rPr>
              <w:t>41</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5</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13</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包装回收率X</w:t>
            </w:r>
            <w:r>
              <w:rPr>
                <w:rFonts w:hint="default" w:ascii="Times New Roman" w:hAnsi="Times New Roman" w:eastAsia="仿宋_GB2312" w:cs="Times New Roman"/>
                <w:color w:val="auto"/>
                <w:sz w:val="24"/>
                <w:highlight w:val="none"/>
                <w:vertAlign w:val="subscript"/>
              </w:rPr>
              <w:t>42</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5</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14</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回收体系完善（含自建、与第三方联合回收）X</w:t>
            </w:r>
            <w:r>
              <w:rPr>
                <w:rFonts w:hint="default" w:ascii="Times New Roman" w:hAnsi="Times New Roman" w:eastAsia="仿宋_GB2312" w:cs="Times New Roman"/>
                <w:color w:val="auto"/>
                <w:sz w:val="24"/>
                <w:highlight w:val="none"/>
                <w:vertAlign w:val="subscript"/>
              </w:rPr>
              <w:t>43</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5</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15</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指导下游企业回收拆解X</w:t>
            </w:r>
            <w:r>
              <w:rPr>
                <w:rFonts w:hint="default" w:ascii="Times New Roman" w:hAnsi="Times New Roman" w:eastAsia="仿宋_GB2312" w:cs="Times New Roman"/>
                <w:color w:val="auto"/>
                <w:sz w:val="24"/>
                <w:highlight w:val="none"/>
                <w:vertAlign w:val="subscript"/>
              </w:rPr>
              <w:t>44</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5</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516"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绿色信息平台建设X</w:t>
            </w:r>
            <w:r>
              <w:rPr>
                <w:rFonts w:hint="default" w:ascii="Times New Roman" w:hAnsi="Times New Roman" w:eastAsia="仿宋_GB2312" w:cs="Times New Roman"/>
                <w:color w:val="auto"/>
                <w:sz w:val="24"/>
                <w:highlight w:val="none"/>
                <w:vertAlign w:val="subscript"/>
              </w:rPr>
              <w:t>5</w:t>
            </w: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16</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绿色供应链管理信息平台完善X</w:t>
            </w:r>
            <w:r>
              <w:rPr>
                <w:rFonts w:hint="default" w:ascii="Times New Roman" w:hAnsi="Times New Roman" w:eastAsia="仿宋_GB2312" w:cs="Times New Roman"/>
                <w:color w:val="auto"/>
                <w:sz w:val="24"/>
                <w:highlight w:val="none"/>
                <w:vertAlign w:val="subscript"/>
              </w:rPr>
              <w:t>51</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10</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516" w:type="pct"/>
            <w:vMerge w:val="restar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绿色信息披露X</w:t>
            </w:r>
            <w:r>
              <w:rPr>
                <w:rFonts w:hint="default" w:ascii="Times New Roman" w:hAnsi="Times New Roman" w:eastAsia="仿宋_GB2312" w:cs="Times New Roman"/>
                <w:color w:val="auto"/>
                <w:sz w:val="24"/>
                <w:highlight w:val="none"/>
                <w:vertAlign w:val="subscript"/>
              </w:rPr>
              <w:t>6</w:t>
            </w: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17</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披露企业节能减排减碳信息X</w:t>
            </w:r>
            <w:r>
              <w:rPr>
                <w:rFonts w:hint="default" w:ascii="Times New Roman" w:hAnsi="Times New Roman" w:eastAsia="仿宋_GB2312" w:cs="Times New Roman"/>
                <w:color w:val="auto"/>
                <w:sz w:val="24"/>
                <w:highlight w:val="none"/>
                <w:vertAlign w:val="subscript"/>
              </w:rPr>
              <w:t>61</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2.5</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18</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披露高、中风险供应商审核率及低风险供应商占比X</w:t>
            </w:r>
            <w:r>
              <w:rPr>
                <w:rFonts w:hint="default" w:ascii="Times New Roman" w:hAnsi="Times New Roman" w:eastAsia="仿宋_GB2312" w:cs="Times New Roman"/>
                <w:color w:val="auto"/>
                <w:sz w:val="24"/>
                <w:highlight w:val="none"/>
                <w:vertAlign w:val="subscript"/>
              </w:rPr>
              <w:t>62</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2.5</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19</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披露供应商节能减排信息X</w:t>
            </w:r>
            <w:r>
              <w:rPr>
                <w:rFonts w:hint="default" w:ascii="Times New Roman" w:hAnsi="Times New Roman" w:eastAsia="仿宋_GB2312" w:cs="Times New Roman"/>
                <w:color w:val="auto"/>
                <w:sz w:val="24"/>
                <w:highlight w:val="none"/>
                <w:vertAlign w:val="subscript"/>
              </w:rPr>
              <w:t>63</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2.5</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16" w:type="pct"/>
            <w:vMerge w:val="continue"/>
            <w:vAlign w:val="center"/>
          </w:tcPr>
          <w:p>
            <w:pPr>
              <w:jc w:val="center"/>
              <w:rPr>
                <w:rFonts w:hint="default" w:ascii="Times New Roman" w:hAnsi="Times New Roman" w:eastAsia="仿宋_GB2312" w:cs="Times New Roman"/>
                <w:color w:val="auto"/>
                <w:sz w:val="24"/>
                <w:highlight w:val="none"/>
              </w:rPr>
            </w:pPr>
          </w:p>
        </w:tc>
        <w:tc>
          <w:tcPr>
            <w:tcW w:w="31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20</w:t>
            </w:r>
          </w:p>
        </w:tc>
        <w:tc>
          <w:tcPr>
            <w:tcW w:w="1576" w:type="pct"/>
            <w:vAlign w:val="center"/>
          </w:tcPr>
          <w:p>
            <w:pP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发布企业社会责任报告（含绿色采购信息）X</w:t>
            </w:r>
            <w:r>
              <w:rPr>
                <w:rFonts w:hint="default" w:ascii="Times New Roman" w:hAnsi="Times New Roman" w:eastAsia="仿宋_GB2312" w:cs="Times New Roman"/>
                <w:color w:val="auto"/>
                <w:sz w:val="24"/>
                <w:highlight w:val="none"/>
                <w:vertAlign w:val="subscript"/>
              </w:rPr>
              <w:t>64</w:t>
            </w:r>
          </w:p>
        </w:tc>
        <w:tc>
          <w:tcPr>
            <w:tcW w:w="314"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w:t>
            </w:r>
          </w:p>
        </w:tc>
        <w:tc>
          <w:tcPr>
            <w:tcW w:w="422"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2.5</w:t>
            </w:r>
          </w:p>
        </w:tc>
        <w:tc>
          <w:tcPr>
            <w:tcW w:w="581" w:type="pct"/>
            <w:vAlign w:val="center"/>
          </w:tcPr>
          <w:p>
            <w:pPr>
              <w:jc w:val="center"/>
              <w:rPr>
                <w:rFonts w:hint="default" w:ascii="Times New Roman" w:hAnsi="Times New Roman" w:eastAsia="仿宋_GB2312" w:cs="Times New Roman"/>
                <w:color w:val="auto"/>
                <w:sz w:val="24"/>
                <w:highlight w:val="none"/>
              </w:rPr>
            </w:pPr>
          </w:p>
        </w:tc>
        <w:tc>
          <w:tcPr>
            <w:tcW w:w="825" w:type="pct"/>
            <w:vAlign w:val="center"/>
          </w:tcPr>
          <w:p>
            <w:pPr>
              <w:jc w:val="center"/>
              <w:rPr>
                <w:rFonts w:hint="default" w:ascii="Times New Roman" w:hAnsi="Times New Roman" w:eastAsia="仿宋_GB2312" w:cs="Times New Roman"/>
                <w:color w:val="auto"/>
                <w:sz w:val="24"/>
                <w:highlight w:val="none"/>
              </w:rPr>
            </w:pPr>
          </w:p>
        </w:tc>
        <w:tc>
          <w:tcPr>
            <w:tcW w:w="447" w:type="pct"/>
            <w:vAlign w:val="center"/>
          </w:tcPr>
          <w:p>
            <w:pPr>
              <w:jc w:val="center"/>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定性</w:t>
            </w:r>
          </w:p>
        </w:tc>
      </w:tr>
    </w:tbl>
    <w:p>
      <w:pPr>
        <w:ind w:firstLine="602" w:firstLine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说明：</w:t>
      </w:r>
      <w:r>
        <w:rPr>
          <w:rFonts w:hint="default" w:ascii="Times New Roman" w:hAnsi="Times New Roman" w:eastAsia="仿宋_GB2312" w:cs="Times New Roman"/>
          <w:color w:val="auto"/>
          <w:sz w:val="30"/>
          <w:szCs w:val="30"/>
          <w:highlight w:val="none"/>
        </w:rPr>
        <w:t>为便于绿色供应链管理评价，具体计算公式简化为：</w:t>
      </w:r>
    </w:p>
    <w:p>
      <w:pPr>
        <w:rPr>
          <w:rFonts w:hint="default" w:ascii="Times New Roman" w:hAnsi="Times New Roman" w:cs="Times New Roman"/>
          <w:color w:val="auto"/>
          <w:highlight w:val="none"/>
        </w:rPr>
      </w:pPr>
      <w:r>
        <w:rPr>
          <w:rFonts w:hint="default" w:ascii="Times New Roman" w:hAnsi="Times New Roman" w:eastAsia="仿宋_GB2312" w:cs="Times New Roman"/>
          <w:color w:val="auto"/>
          <w:position w:val="-30"/>
          <w:sz w:val="32"/>
          <w:szCs w:val="32"/>
          <w:highlight w:val="none"/>
        </w:rPr>
        <w:object>
          <v:shape id="_x0000_i1025" o:spt="75" type="#_x0000_t75" style="height:44.35pt;width:410.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p>
      <w:pPr>
        <w:pStyle w:val="2"/>
        <w:rPr>
          <w:rFonts w:hint="default" w:ascii="Times New Roman" w:hAnsi="Times New Roman" w:cs="Times New Roman"/>
          <w:color w:val="auto"/>
          <w:highlight w:val="none"/>
        </w:rPr>
      </w:pPr>
    </w:p>
    <w:p>
      <w:pPr>
        <w:spacing w:before="156" w:beforeLines="50" w:after="312" w:afterLines="100" w:line="360" w:lineRule="auto"/>
        <w:ind w:firstLine="640" w:firstLineChars="200"/>
        <w:rPr>
          <w:rFonts w:hint="default" w:ascii="Times New Roman" w:hAnsi="Times New Roman" w:eastAsia="黑体" w:cs="Times New Roman"/>
          <w:b w:val="0"/>
          <w:bCs/>
          <w:color w:val="auto"/>
          <w:sz w:val="32"/>
          <w:szCs w:val="32"/>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spacing w:before="156" w:beforeLines="50" w:after="312" w:afterLines="100" w:line="360" w:lineRule="auto"/>
        <w:ind w:firstLine="640" w:firstLineChars="200"/>
        <w:rPr>
          <w:rFonts w:hint="default" w:ascii="Times New Roman" w:hAnsi="Times New Roman" w:eastAsia="黑体" w:cs="Times New Roman"/>
          <w:bCs/>
          <w:color w:val="auto"/>
          <w:sz w:val="44"/>
          <w:szCs w:val="44"/>
          <w:highlight w:val="none"/>
        </w:rPr>
      </w:pPr>
      <w:r>
        <w:rPr>
          <w:rFonts w:hint="default" w:ascii="Times New Roman" w:hAnsi="Times New Roman" w:eastAsia="黑体" w:cs="Times New Roman"/>
          <w:b w:val="0"/>
          <w:bCs/>
          <w:color w:val="auto"/>
          <w:sz w:val="32"/>
          <w:szCs w:val="32"/>
          <w:highlight w:val="none"/>
          <w:lang w:val="en-US" w:eastAsia="zh-CN"/>
        </w:rPr>
        <w:t>六、</w:t>
      </w:r>
      <w:r>
        <w:rPr>
          <w:rFonts w:hint="default" w:ascii="Times New Roman" w:hAnsi="Times New Roman" w:eastAsia="黑体" w:cs="Times New Roman"/>
          <w:b w:val="0"/>
          <w:bCs/>
          <w:color w:val="auto"/>
          <w:sz w:val="32"/>
          <w:szCs w:val="32"/>
          <w:highlight w:val="none"/>
        </w:rPr>
        <w:t>相关证明材料</w:t>
      </w:r>
    </w:p>
    <w:p>
      <w:pPr>
        <w:snapToGrid w:val="0"/>
        <w:spacing w:line="360" w:lineRule="auto"/>
        <w:ind w:firstLine="640" w:firstLineChars="200"/>
        <w:rPr>
          <w:rFonts w:hint="default" w:ascii="Times New Roman" w:hAnsi="Times New Roman" w:eastAsia="仿宋_GB2312" w:cs="Times New Roman"/>
          <w:color w:val="auto"/>
          <w:kern w:val="2"/>
          <w:sz w:val="32"/>
          <w:szCs w:val="22"/>
          <w:highlight w:val="none"/>
          <w:lang w:val="en-US" w:eastAsia="zh-CN" w:bidi="ar-SA"/>
        </w:rPr>
      </w:pPr>
      <w:r>
        <w:rPr>
          <w:rFonts w:hint="default" w:ascii="Times New Roman" w:hAnsi="Times New Roman" w:eastAsia="仿宋_GB2312" w:cs="Times New Roman"/>
          <w:color w:val="auto"/>
          <w:kern w:val="2"/>
          <w:sz w:val="32"/>
          <w:szCs w:val="22"/>
          <w:highlight w:val="none"/>
          <w:lang w:val="en-US" w:eastAsia="zh-CN" w:bidi="ar-SA"/>
        </w:rPr>
        <w:t>与基本要求和指标测算相关的证明材料。</w:t>
      </w:r>
    </w:p>
    <w:p>
      <w:pPr>
        <w:snapToGrid w:val="0"/>
        <w:spacing w:line="360" w:lineRule="auto"/>
        <w:ind w:firstLine="640" w:firstLineChars="200"/>
        <w:rPr>
          <w:rFonts w:hint="default" w:ascii="Times New Roman" w:hAnsi="Times New Roman" w:eastAsia="仿宋_GB2312" w:cs="Times New Roman"/>
          <w:color w:val="auto"/>
          <w:sz w:val="32"/>
          <w:highlight w:val="none"/>
        </w:rPr>
      </w:pPr>
      <w:r>
        <w:rPr>
          <w:rFonts w:hint="default" w:ascii="Times New Roman" w:hAnsi="Times New Roman" w:eastAsia="黑体" w:cs="Times New Roman"/>
          <w:bCs/>
          <w:color w:val="auto"/>
          <w:sz w:val="32"/>
          <w:szCs w:val="32"/>
          <w:highlight w:val="none"/>
          <w:lang w:val="en-US" w:eastAsia="zh-CN"/>
        </w:rPr>
        <w:t>七</w:t>
      </w:r>
      <w:r>
        <w:rPr>
          <w:rFonts w:hint="default" w:ascii="Times New Roman" w:hAnsi="Times New Roman" w:eastAsia="黑体" w:cs="Times New Roman"/>
          <w:bCs/>
          <w:color w:val="auto"/>
          <w:sz w:val="32"/>
          <w:szCs w:val="32"/>
          <w:highlight w:val="none"/>
        </w:rPr>
        <w:t>、</w:t>
      </w:r>
      <w:r>
        <w:rPr>
          <w:rFonts w:hint="default" w:ascii="Times New Roman" w:hAnsi="Times New Roman" w:eastAsia="黑体" w:cs="Times New Roman"/>
          <w:bCs/>
          <w:color w:val="auto"/>
          <w:sz w:val="32"/>
          <w:szCs w:val="32"/>
          <w:highlight w:val="none"/>
          <w:lang w:val="en-US" w:eastAsia="zh-CN"/>
        </w:rPr>
        <w:t>评价依据</w:t>
      </w:r>
    </w:p>
    <w:p>
      <w:pPr>
        <w:pStyle w:val="47"/>
        <w:rPr>
          <w:rFonts w:hint="default" w:ascii="Times New Roman" w:hAnsi="Times New Roman" w:eastAsia="黑体" w:cs="Times New Roman"/>
          <w:bCs/>
          <w:color w:val="auto"/>
          <w:sz w:val="32"/>
          <w:szCs w:val="32"/>
          <w:highlight w:val="none"/>
          <w:lang w:val="en-US" w:eastAsia="zh-CN"/>
        </w:rPr>
      </w:pPr>
      <w:r>
        <w:rPr>
          <w:rFonts w:hint="default" w:ascii="Times New Roman" w:hAnsi="Times New Roman" w:cs="Times New Roman"/>
          <w:color w:val="auto"/>
          <w:sz w:val="32"/>
          <w:highlight w:val="none"/>
          <w:lang w:val="en-US" w:eastAsia="zh-CN"/>
        </w:rPr>
        <w:t>附评价依据</w:t>
      </w:r>
      <w:r>
        <w:rPr>
          <w:rFonts w:hint="default" w:ascii="Times New Roman" w:hAnsi="Times New Roman" w:eastAsia="仿宋_GB2312" w:cs="Times New Roman"/>
          <w:color w:val="auto"/>
          <w:sz w:val="32"/>
          <w:highlight w:val="none"/>
          <w:lang w:val="en-US" w:eastAsia="zh-CN"/>
        </w:rPr>
        <w:t>（评价参考的具体标准或相关文件）</w:t>
      </w:r>
      <w:r>
        <w:rPr>
          <w:rFonts w:hint="default" w:ascii="Times New Roman" w:hAnsi="Times New Roman" w:cs="Times New Roman"/>
          <w:color w:val="auto"/>
          <w:sz w:val="32"/>
          <w:highlight w:val="none"/>
          <w:lang w:val="en-US" w:eastAsia="zh-CN"/>
        </w:rPr>
        <w:t>全文</w:t>
      </w:r>
      <w:r>
        <w:rPr>
          <w:rFonts w:hint="eastAsia" w:ascii="Times New Roman" w:hAnsi="Times New Roman" w:cs="Times New Roman"/>
          <w:color w:val="auto"/>
          <w:sz w:val="32"/>
          <w:highlight w:val="none"/>
          <w:lang w:val="en-US" w:eastAsia="zh-CN"/>
        </w:rPr>
        <w:t>。</w:t>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DC6DDC-5205-456D-B5D2-8AAE1FA150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B9292CE-CAFC-4B13-8AD2-519F4D97F195}"/>
  </w:font>
  <w:font w:name="楷体">
    <w:panose1 w:val="02010609060101010101"/>
    <w:charset w:val="86"/>
    <w:family w:val="modern"/>
    <w:pitch w:val="default"/>
    <w:sig w:usb0="800002BF" w:usb1="38CF7CFA" w:usb2="00000016" w:usb3="00000000" w:csb0="00040001" w:csb1="00000000"/>
    <w:embedRegular r:id="rId3" w:fontKey="{4C66CF63-495F-43E6-B74B-C64FFBEDA0F0}"/>
  </w:font>
  <w:font w:name="仿宋_GB2312">
    <w:panose1 w:val="02010609030101010101"/>
    <w:charset w:val="86"/>
    <w:family w:val="modern"/>
    <w:pitch w:val="default"/>
    <w:sig w:usb0="00000001" w:usb1="080E0000" w:usb2="00000000" w:usb3="00000000" w:csb0="00040000" w:csb1="00000000"/>
    <w:embedRegular r:id="rId4" w:fontKey="{EE1C7BC7-A9B9-46FB-AD39-DB166085BB5F}"/>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小标宋简体">
    <w:panose1 w:val="02000000000000000000"/>
    <w:charset w:val="86"/>
    <w:family w:val="swiss"/>
    <w:pitch w:val="default"/>
    <w:sig w:usb0="A00002BF" w:usb1="184F6CFA" w:usb2="00000012" w:usb3="00000000" w:csb0="00040001" w:csb1="00000000"/>
    <w:embedRegular r:id="rId5" w:fontKey="{4BCED02A-9399-483B-9385-40B08BE9EB74}"/>
  </w:font>
  <w:font w:name="仿宋">
    <w:panose1 w:val="02010609060101010101"/>
    <w:charset w:val="86"/>
    <w:family w:val="modern"/>
    <w:pitch w:val="default"/>
    <w:sig w:usb0="800002BF" w:usb1="38CF7CFA" w:usb2="00000016" w:usb3="00000000" w:csb0="00040001" w:csb1="00000000"/>
    <w:embedRegular r:id="rId6" w:fontKey="{0739C04B-3DB5-41A6-85E4-BA32856D9E3C}"/>
  </w:font>
  <w:font w:name="等线">
    <w:panose1 w:val="02010600030101010101"/>
    <w:charset w:val="86"/>
    <w:family w:val="auto"/>
    <w:pitch w:val="default"/>
    <w:sig w:usb0="A00002BF" w:usb1="38CF7CFA" w:usb2="00000016" w:usb3="00000000" w:csb0="0004000F" w:csb1="00000000"/>
    <w:embedRegular r:id="rId7" w:fontKey="{1F1A71EE-6B41-41EF-B0A1-7BFDFBD87176}"/>
  </w:font>
  <w:font w:name="微软雅黑">
    <w:panose1 w:val="020B0503020204020204"/>
    <w:charset w:val="86"/>
    <w:family w:val="auto"/>
    <w:pitch w:val="default"/>
    <w:sig w:usb0="80000287" w:usb1="2ACF3C50" w:usb2="00000016" w:usb3="00000000" w:csb0="0004001F" w:csb1="00000000"/>
    <w:embedRegular r:id="rId8" w:fontKey="{FC10C1D9-B70E-4D04-816A-1943F0411EE5}"/>
  </w:font>
  <w:font w:name="华文中宋">
    <w:panose1 w:val="02010600040101010101"/>
    <w:charset w:val="86"/>
    <w:family w:val="auto"/>
    <w:pitch w:val="default"/>
    <w:sig w:usb0="00000287" w:usb1="080F0000" w:usb2="00000000" w:usb3="00000000" w:csb0="0004009F" w:csb1="DFD70000"/>
    <w:embedRegular r:id="rId9" w:fontKey="{53C9DC21-0473-4F8B-8027-280B70C5205A}"/>
  </w:font>
  <w:font w:name="楷体_GB2312">
    <w:panose1 w:val="02010609030101010101"/>
    <w:charset w:val="86"/>
    <w:family w:val="modern"/>
    <w:pitch w:val="default"/>
    <w:sig w:usb0="00000001" w:usb1="080E0000" w:usb2="00000000" w:usb3="00000000" w:csb0="00040000" w:csb1="00000000"/>
    <w:embedRegular r:id="rId10" w:fontKey="{A864D7F9-BFF5-4173-BF5B-9803727F0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1"/>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Calibri" w:hAnsi="Calibri" w:eastAsia="宋体" w:cs="黑体"/>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67</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1"/>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67</w:t>
                    </w:r>
                    <w:r>
                      <w:rPr>
                        <w:rFonts w:hint="eastAsia"/>
                        <w:sz w:val="24"/>
                        <w:szCs w:val="24"/>
                        <w:lang w:eastAsia="zh-CN"/>
                      </w:rPr>
                      <w:fldChar w:fldCharType="end"/>
                    </w:r>
                  </w:p>
                </w:txbxContent>
              </v:textbox>
            </v:shape>
          </w:pict>
        </mc:Fallback>
      </mc:AlternateContent>
    </w:r>
  </w:p>
  <w:p>
    <w:pPr>
      <w:widowControl w:val="0"/>
      <w:snapToGrid w:val="0"/>
      <w:jc w:val="left"/>
      <w:rPr>
        <w:rFonts w:ascii="Calibri" w:hAnsi="Calibri" w:eastAsia="宋体" w:cs="黑体"/>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62</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1"/>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62</w:t>
                    </w:r>
                    <w:r>
                      <w:rPr>
                        <w:rFonts w:hint="eastAsia"/>
                        <w:sz w:val="24"/>
                        <w:szCs w:val="24"/>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Calibri" w:hAnsi="Calibri" w:eastAsia="宋体" w:cs="黑体"/>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67</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1"/>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67</w:t>
                    </w:r>
                    <w:r>
                      <w:rPr>
                        <w:rFonts w:hint="eastAsia"/>
                        <w:sz w:val="24"/>
                        <w:szCs w:val="24"/>
                        <w:lang w:eastAsia="zh-CN"/>
                      </w:rPr>
                      <w:fldChar w:fldCharType="end"/>
                    </w:r>
                  </w:p>
                </w:txbxContent>
              </v:textbox>
            </v:shape>
          </w:pict>
        </mc:Fallback>
      </mc:AlternateContent>
    </w:r>
  </w:p>
  <w:p>
    <w:pPr>
      <w:widowControl w:val="0"/>
      <w:snapToGrid w:val="0"/>
      <w:jc w:val="left"/>
      <w:rPr>
        <w:rFonts w:ascii="Calibri" w:hAnsi="Calibri" w:eastAsia="宋体" w:cs="黑体"/>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391AC"/>
    <w:multiLevelType w:val="singleLevel"/>
    <w:tmpl w:val="B2C391AC"/>
    <w:lvl w:ilvl="0" w:tentative="0">
      <w:start w:val="1"/>
      <w:numFmt w:val="chineseCounting"/>
      <w:suff w:val="nothing"/>
      <w:lvlText w:val="%1、"/>
      <w:lvlJc w:val="left"/>
      <w:rPr>
        <w:rFonts w:hint="eastAsia"/>
      </w:rPr>
    </w:lvl>
  </w:abstractNum>
  <w:abstractNum w:abstractNumId="1">
    <w:nsid w:val="0000000C"/>
    <w:multiLevelType w:val="singleLevel"/>
    <w:tmpl w:val="0000000C"/>
    <w:lvl w:ilvl="0" w:tentative="0">
      <w:start w:val="1"/>
      <w:numFmt w:val="decimal"/>
      <w:suff w:val="space"/>
      <w:lvlText w:val="%1."/>
      <w:lvlJc w:val="left"/>
    </w:lvl>
  </w:abstractNum>
  <w:abstractNum w:abstractNumId="2">
    <w:nsid w:val="2C4A5C5C"/>
    <w:multiLevelType w:val="multilevel"/>
    <w:tmpl w:val="2C4A5C5C"/>
    <w:lvl w:ilvl="0" w:tentative="0">
      <w:start w:val="1"/>
      <w:numFmt w:val="decimal"/>
      <w:pStyle w:val="69"/>
      <w:suff w:val="space"/>
      <w:lvlText w:val="%1."/>
      <w:lvlJc w:val="left"/>
      <w:pPr>
        <w:ind w:left="0" w:firstLine="0"/>
      </w:pPr>
      <w:rPr>
        <w:rFonts w:hint="default" w:ascii="Times New Roman" w:hAnsi="Times New Roman" w:eastAsia="宋体"/>
        <w:color w:val="auto"/>
        <w:sz w:val="28"/>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211"/>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wZTA1NTVlZjkzMDVkNDdhYTI1OGVkZmZhNWJlOTkifQ=="/>
  </w:docVars>
  <w:rsids>
    <w:rsidRoot w:val="0022721A"/>
    <w:rsid w:val="000118A6"/>
    <w:rsid w:val="00015A8C"/>
    <w:rsid w:val="00042B70"/>
    <w:rsid w:val="0005057F"/>
    <w:rsid w:val="00051E69"/>
    <w:rsid w:val="00053B59"/>
    <w:rsid w:val="00095FAD"/>
    <w:rsid w:val="000B68D4"/>
    <w:rsid w:val="000D3106"/>
    <w:rsid w:val="000E7B1F"/>
    <w:rsid w:val="00103897"/>
    <w:rsid w:val="00120889"/>
    <w:rsid w:val="00125385"/>
    <w:rsid w:val="001258B2"/>
    <w:rsid w:val="00133DB4"/>
    <w:rsid w:val="00162816"/>
    <w:rsid w:val="00166794"/>
    <w:rsid w:val="001669D4"/>
    <w:rsid w:val="001768C2"/>
    <w:rsid w:val="001C66E0"/>
    <w:rsid w:val="001E2766"/>
    <w:rsid w:val="00205D87"/>
    <w:rsid w:val="002151EE"/>
    <w:rsid w:val="00215AA4"/>
    <w:rsid w:val="00216C67"/>
    <w:rsid w:val="0022721A"/>
    <w:rsid w:val="00247343"/>
    <w:rsid w:val="00255F6E"/>
    <w:rsid w:val="00265C32"/>
    <w:rsid w:val="002714CC"/>
    <w:rsid w:val="002964B9"/>
    <w:rsid w:val="00297720"/>
    <w:rsid w:val="002A35B8"/>
    <w:rsid w:val="002A4FC5"/>
    <w:rsid w:val="002B6A6B"/>
    <w:rsid w:val="002C5DE3"/>
    <w:rsid w:val="002C61F7"/>
    <w:rsid w:val="002C7B72"/>
    <w:rsid w:val="00302D5E"/>
    <w:rsid w:val="00305822"/>
    <w:rsid w:val="00323709"/>
    <w:rsid w:val="00365152"/>
    <w:rsid w:val="00374028"/>
    <w:rsid w:val="00397D48"/>
    <w:rsid w:val="003D4E56"/>
    <w:rsid w:val="003D7CAF"/>
    <w:rsid w:val="003E2527"/>
    <w:rsid w:val="003F1EFD"/>
    <w:rsid w:val="003F23CE"/>
    <w:rsid w:val="00411CA3"/>
    <w:rsid w:val="00423446"/>
    <w:rsid w:val="00443541"/>
    <w:rsid w:val="00443ABC"/>
    <w:rsid w:val="004548CE"/>
    <w:rsid w:val="004842F3"/>
    <w:rsid w:val="00490B57"/>
    <w:rsid w:val="00494FFB"/>
    <w:rsid w:val="004B2B57"/>
    <w:rsid w:val="004C2D54"/>
    <w:rsid w:val="004D56A3"/>
    <w:rsid w:val="004D7550"/>
    <w:rsid w:val="004E0863"/>
    <w:rsid w:val="004F52CE"/>
    <w:rsid w:val="00500DB3"/>
    <w:rsid w:val="00514D64"/>
    <w:rsid w:val="00556463"/>
    <w:rsid w:val="005671B7"/>
    <w:rsid w:val="005A032F"/>
    <w:rsid w:val="005A0FB6"/>
    <w:rsid w:val="005A4B88"/>
    <w:rsid w:val="005C31FF"/>
    <w:rsid w:val="005C6845"/>
    <w:rsid w:val="005E4A8D"/>
    <w:rsid w:val="005E5063"/>
    <w:rsid w:val="00616653"/>
    <w:rsid w:val="006177A2"/>
    <w:rsid w:val="00651FF0"/>
    <w:rsid w:val="00663056"/>
    <w:rsid w:val="006A0CEF"/>
    <w:rsid w:val="006B622B"/>
    <w:rsid w:val="006D06C3"/>
    <w:rsid w:val="006D6F3B"/>
    <w:rsid w:val="0071133E"/>
    <w:rsid w:val="0072751A"/>
    <w:rsid w:val="00746FB0"/>
    <w:rsid w:val="00770A4E"/>
    <w:rsid w:val="007745DB"/>
    <w:rsid w:val="00782ECE"/>
    <w:rsid w:val="00797C0C"/>
    <w:rsid w:val="007E5A79"/>
    <w:rsid w:val="007F0899"/>
    <w:rsid w:val="008514DD"/>
    <w:rsid w:val="00871D3A"/>
    <w:rsid w:val="00874521"/>
    <w:rsid w:val="008B2CBD"/>
    <w:rsid w:val="008B6275"/>
    <w:rsid w:val="008C2639"/>
    <w:rsid w:val="008F62F4"/>
    <w:rsid w:val="00902C2A"/>
    <w:rsid w:val="00914B35"/>
    <w:rsid w:val="009224FE"/>
    <w:rsid w:val="00924494"/>
    <w:rsid w:val="009476CA"/>
    <w:rsid w:val="00960BA9"/>
    <w:rsid w:val="00974325"/>
    <w:rsid w:val="00975D66"/>
    <w:rsid w:val="00980F30"/>
    <w:rsid w:val="00983A64"/>
    <w:rsid w:val="009926A2"/>
    <w:rsid w:val="0099735F"/>
    <w:rsid w:val="009A13B3"/>
    <w:rsid w:val="009A4806"/>
    <w:rsid w:val="009E0F85"/>
    <w:rsid w:val="009F2A1F"/>
    <w:rsid w:val="00A200F6"/>
    <w:rsid w:val="00A22208"/>
    <w:rsid w:val="00A3470B"/>
    <w:rsid w:val="00A34CBA"/>
    <w:rsid w:val="00A42BB5"/>
    <w:rsid w:val="00A51A9B"/>
    <w:rsid w:val="00A5549A"/>
    <w:rsid w:val="00A6244D"/>
    <w:rsid w:val="00A73D20"/>
    <w:rsid w:val="00AB5D9C"/>
    <w:rsid w:val="00AC35DC"/>
    <w:rsid w:val="00AD558A"/>
    <w:rsid w:val="00AE7084"/>
    <w:rsid w:val="00AF0EC0"/>
    <w:rsid w:val="00AF739B"/>
    <w:rsid w:val="00B03786"/>
    <w:rsid w:val="00B1116D"/>
    <w:rsid w:val="00B119D2"/>
    <w:rsid w:val="00B22BA0"/>
    <w:rsid w:val="00B24616"/>
    <w:rsid w:val="00B27914"/>
    <w:rsid w:val="00B45BFA"/>
    <w:rsid w:val="00B53E3C"/>
    <w:rsid w:val="00B70D5A"/>
    <w:rsid w:val="00B72C5B"/>
    <w:rsid w:val="00BA7EA5"/>
    <w:rsid w:val="00BE7797"/>
    <w:rsid w:val="00C20688"/>
    <w:rsid w:val="00C570B4"/>
    <w:rsid w:val="00C61292"/>
    <w:rsid w:val="00C62570"/>
    <w:rsid w:val="00C65C84"/>
    <w:rsid w:val="00C6664C"/>
    <w:rsid w:val="00CA450F"/>
    <w:rsid w:val="00CA6D42"/>
    <w:rsid w:val="00CC0B77"/>
    <w:rsid w:val="00CD5724"/>
    <w:rsid w:val="00CD79DA"/>
    <w:rsid w:val="00D22C7B"/>
    <w:rsid w:val="00D50F98"/>
    <w:rsid w:val="00D572D3"/>
    <w:rsid w:val="00D64969"/>
    <w:rsid w:val="00D65456"/>
    <w:rsid w:val="00DA17F9"/>
    <w:rsid w:val="00DE69B8"/>
    <w:rsid w:val="00DE7716"/>
    <w:rsid w:val="00E01B50"/>
    <w:rsid w:val="00E25E51"/>
    <w:rsid w:val="00E81023"/>
    <w:rsid w:val="00EA22B2"/>
    <w:rsid w:val="00EB1C0E"/>
    <w:rsid w:val="00ED65EC"/>
    <w:rsid w:val="00F16121"/>
    <w:rsid w:val="00F221D4"/>
    <w:rsid w:val="00F22F9D"/>
    <w:rsid w:val="00F34E2A"/>
    <w:rsid w:val="00F46AE2"/>
    <w:rsid w:val="00F76805"/>
    <w:rsid w:val="00FA00A3"/>
    <w:rsid w:val="00FC346A"/>
    <w:rsid w:val="00FD5C28"/>
    <w:rsid w:val="00FE1A94"/>
    <w:rsid w:val="01027F75"/>
    <w:rsid w:val="01035F33"/>
    <w:rsid w:val="01082B75"/>
    <w:rsid w:val="010A1F8D"/>
    <w:rsid w:val="010A478A"/>
    <w:rsid w:val="010B2E2E"/>
    <w:rsid w:val="011D2710"/>
    <w:rsid w:val="011E0236"/>
    <w:rsid w:val="01231B25"/>
    <w:rsid w:val="01243D69"/>
    <w:rsid w:val="01296EB5"/>
    <w:rsid w:val="012A0989"/>
    <w:rsid w:val="012A6186"/>
    <w:rsid w:val="012F5014"/>
    <w:rsid w:val="01317F69"/>
    <w:rsid w:val="0132783D"/>
    <w:rsid w:val="013364FB"/>
    <w:rsid w:val="013533A9"/>
    <w:rsid w:val="014D28C9"/>
    <w:rsid w:val="014F44AB"/>
    <w:rsid w:val="01527921"/>
    <w:rsid w:val="01541EA9"/>
    <w:rsid w:val="015D1831"/>
    <w:rsid w:val="01655E65"/>
    <w:rsid w:val="016A7234"/>
    <w:rsid w:val="017165B7"/>
    <w:rsid w:val="017442FA"/>
    <w:rsid w:val="01747E56"/>
    <w:rsid w:val="017E0CD4"/>
    <w:rsid w:val="01875DDB"/>
    <w:rsid w:val="018D153E"/>
    <w:rsid w:val="018F2EE2"/>
    <w:rsid w:val="019127B6"/>
    <w:rsid w:val="01934C88"/>
    <w:rsid w:val="019404AC"/>
    <w:rsid w:val="01945FB5"/>
    <w:rsid w:val="01994791"/>
    <w:rsid w:val="019C21AE"/>
    <w:rsid w:val="019D55FE"/>
    <w:rsid w:val="01A2063D"/>
    <w:rsid w:val="01A23FD0"/>
    <w:rsid w:val="01A80F88"/>
    <w:rsid w:val="01A92A76"/>
    <w:rsid w:val="01B132E4"/>
    <w:rsid w:val="01B36BD0"/>
    <w:rsid w:val="01B6221C"/>
    <w:rsid w:val="01B841E6"/>
    <w:rsid w:val="01B96AFD"/>
    <w:rsid w:val="01C012ED"/>
    <w:rsid w:val="01C61E10"/>
    <w:rsid w:val="01CA3F1A"/>
    <w:rsid w:val="01D1565B"/>
    <w:rsid w:val="01D37272"/>
    <w:rsid w:val="01DB7BB8"/>
    <w:rsid w:val="01E0331B"/>
    <w:rsid w:val="01E41126"/>
    <w:rsid w:val="01FA65AD"/>
    <w:rsid w:val="01FF1E15"/>
    <w:rsid w:val="0200793B"/>
    <w:rsid w:val="020411DA"/>
    <w:rsid w:val="02056D00"/>
    <w:rsid w:val="020B07BA"/>
    <w:rsid w:val="021E7C7C"/>
    <w:rsid w:val="021F2E8E"/>
    <w:rsid w:val="02316182"/>
    <w:rsid w:val="023615AF"/>
    <w:rsid w:val="023C6822"/>
    <w:rsid w:val="023E23D4"/>
    <w:rsid w:val="02455DD1"/>
    <w:rsid w:val="02535CBD"/>
    <w:rsid w:val="02555ED9"/>
    <w:rsid w:val="0256459F"/>
    <w:rsid w:val="025657AD"/>
    <w:rsid w:val="02590923"/>
    <w:rsid w:val="025A0102"/>
    <w:rsid w:val="025D2C1D"/>
    <w:rsid w:val="026305F6"/>
    <w:rsid w:val="026779BA"/>
    <w:rsid w:val="026B74AB"/>
    <w:rsid w:val="026E6F9B"/>
    <w:rsid w:val="02704AC1"/>
    <w:rsid w:val="02764B31"/>
    <w:rsid w:val="027D0F8C"/>
    <w:rsid w:val="028445D0"/>
    <w:rsid w:val="028838A9"/>
    <w:rsid w:val="028B18FB"/>
    <w:rsid w:val="028B5457"/>
    <w:rsid w:val="0293255D"/>
    <w:rsid w:val="029702A0"/>
    <w:rsid w:val="02972E9C"/>
    <w:rsid w:val="02985DC6"/>
    <w:rsid w:val="02AC4568"/>
    <w:rsid w:val="02AE1145"/>
    <w:rsid w:val="02AF383B"/>
    <w:rsid w:val="02B50726"/>
    <w:rsid w:val="02B909F7"/>
    <w:rsid w:val="02BB3B57"/>
    <w:rsid w:val="02BB50F4"/>
    <w:rsid w:val="02BD610D"/>
    <w:rsid w:val="02C1356F"/>
    <w:rsid w:val="02C22BDA"/>
    <w:rsid w:val="02C23DB8"/>
    <w:rsid w:val="02C32E43"/>
    <w:rsid w:val="02C40969"/>
    <w:rsid w:val="02C47780"/>
    <w:rsid w:val="02C642C6"/>
    <w:rsid w:val="02C80459"/>
    <w:rsid w:val="02C83D6E"/>
    <w:rsid w:val="02C866AB"/>
    <w:rsid w:val="02C95F7F"/>
    <w:rsid w:val="02CB619B"/>
    <w:rsid w:val="02CD291D"/>
    <w:rsid w:val="02CE2CB2"/>
    <w:rsid w:val="02D23086"/>
    <w:rsid w:val="02D2681F"/>
    <w:rsid w:val="02D37D82"/>
    <w:rsid w:val="02D46FA9"/>
    <w:rsid w:val="02D548BC"/>
    <w:rsid w:val="02DC2156"/>
    <w:rsid w:val="02DC5CB3"/>
    <w:rsid w:val="02E22B45"/>
    <w:rsid w:val="02E36D5F"/>
    <w:rsid w:val="02E4100B"/>
    <w:rsid w:val="02F91277"/>
    <w:rsid w:val="02FF555D"/>
    <w:rsid w:val="03032776"/>
    <w:rsid w:val="030E0574"/>
    <w:rsid w:val="0310330D"/>
    <w:rsid w:val="03162664"/>
    <w:rsid w:val="0317318F"/>
    <w:rsid w:val="03186955"/>
    <w:rsid w:val="031E7445"/>
    <w:rsid w:val="032367E2"/>
    <w:rsid w:val="03237304"/>
    <w:rsid w:val="032D29B2"/>
    <w:rsid w:val="03393CA2"/>
    <w:rsid w:val="033C2BF5"/>
    <w:rsid w:val="0348159A"/>
    <w:rsid w:val="034A3564"/>
    <w:rsid w:val="034F2928"/>
    <w:rsid w:val="034F46D6"/>
    <w:rsid w:val="0350044F"/>
    <w:rsid w:val="03561F09"/>
    <w:rsid w:val="03563CB7"/>
    <w:rsid w:val="035937A7"/>
    <w:rsid w:val="035A307B"/>
    <w:rsid w:val="035D3297"/>
    <w:rsid w:val="03623C45"/>
    <w:rsid w:val="03627458"/>
    <w:rsid w:val="0368755A"/>
    <w:rsid w:val="036B5288"/>
    <w:rsid w:val="036C5FC7"/>
    <w:rsid w:val="0370464D"/>
    <w:rsid w:val="03753A90"/>
    <w:rsid w:val="03793B65"/>
    <w:rsid w:val="037979A5"/>
    <w:rsid w:val="037D56E7"/>
    <w:rsid w:val="0381685A"/>
    <w:rsid w:val="0383192F"/>
    <w:rsid w:val="0388187E"/>
    <w:rsid w:val="038D448F"/>
    <w:rsid w:val="038F71C9"/>
    <w:rsid w:val="03962C28"/>
    <w:rsid w:val="03965E35"/>
    <w:rsid w:val="039B791C"/>
    <w:rsid w:val="039C72BA"/>
    <w:rsid w:val="03A11848"/>
    <w:rsid w:val="03A367D0"/>
    <w:rsid w:val="03B73B54"/>
    <w:rsid w:val="03B94246"/>
    <w:rsid w:val="03C055D4"/>
    <w:rsid w:val="03C07382"/>
    <w:rsid w:val="03C54999"/>
    <w:rsid w:val="03C70711"/>
    <w:rsid w:val="03C84489"/>
    <w:rsid w:val="03C9092D"/>
    <w:rsid w:val="03CA6453"/>
    <w:rsid w:val="03CD0AF4"/>
    <w:rsid w:val="03CF3A69"/>
    <w:rsid w:val="03D011C6"/>
    <w:rsid w:val="03D42E2E"/>
    <w:rsid w:val="03DF372D"/>
    <w:rsid w:val="03E02DB7"/>
    <w:rsid w:val="03E853C5"/>
    <w:rsid w:val="03ED528A"/>
    <w:rsid w:val="03F31506"/>
    <w:rsid w:val="03F359AA"/>
    <w:rsid w:val="03F60FF6"/>
    <w:rsid w:val="04006E1F"/>
    <w:rsid w:val="04025604"/>
    <w:rsid w:val="04051239"/>
    <w:rsid w:val="040544E5"/>
    <w:rsid w:val="040C75CD"/>
    <w:rsid w:val="040F3EF1"/>
    <w:rsid w:val="04180F6C"/>
    <w:rsid w:val="041A1188"/>
    <w:rsid w:val="041A2F36"/>
    <w:rsid w:val="041B4EA9"/>
    <w:rsid w:val="04292BDC"/>
    <w:rsid w:val="042D1122"/>
    <w:rsid w:val="042E1A6A"/>
    <w:rsid w:val="042F1E64"/>
    <w:rsid w:val="0438160E"/>
    <w:rsid w:val="0438616D"/>
    <w:rsid w:val="043E729F"/>
    <w:rsid w:val="043F40FB"/>
    <w:rsid w:val="0442248D"/>
    <w:rsid w:val="04425D07"/>
    <w:rsid w:val="044E305B"/>
    <w:rsid w:val="0456200F"/>
    <w:rsid w:val="045E41C6"/>
    <w:rsid w:val="0466617C"/>
    <w:rsid w:val="04675BB8"/>
    <w:rsid w:val="04764985"/>
    <w:rsid w:val="047A39D5"/>
    <w:rsid w:val="047C1F99"/>
    <w:rsid w:val="04804F49"/>
    <w:rsid w:val="04900898"/>
    <w:rsid w:val="0490144A"/>
    <w:rsid w:val="049236D0"/>
    <w:rsid w:val="04974EFC"/>
    <w:rsid w:val="04A171B4"/>
    <w:rsid w:val="04A22F2C"/>
    <w:rsid w:val="04A3117E"/>
    <w:rsid w:val="04A96068"/>
    <w:rsid w:val="04AC267E"/>
    <w:rsid w:val="04AE3166"/>
    <w:rsid w:val="04B360C1"/>
    <w:rsid w:val="04B70785"/>
    <w:rsid w:val="04BA0275"/>
    <w:rsid w:val="04BC223F"/>
    <w:rsid w:val="04BD22F6"/>
    <w:rsid w:val="04C1407A"/>
    <w:rsid w:val="04C44709"/>
    <w:rsid w:val="04CA4F6C"/>
    <w:rsid w:val="04CB2483"/>
    <w:rsid w:val="04DC21F7"/>
    <w:rsid w:val="04DE21B6"/>
    <w:rsid w:val="04E33A5A"/>
    <w:rsid w:val="04E74B44"/>
    <w:rsid w:val="04E84DE3"/>
    <w:rsid w:val="04E90B5B"/>
    <w:rsid w:val="04E96151"/>
    <w:rsid w:val="04ED2E53"/>
    <w:rsid w:val="04F65EE8"/>
    <w:rsid w:val="050634BB"/>
    <w:rsid w:val="050835F5"/>
    <w:rsid w:val="05085485"/>
    <w:rsid w:val="05145BD8"/>
    <w:rsid w:val="052027CE"/>
    <w:rsid w:val="052851DF"/>
    <w:rsid w:val="052F2A11"/>
    <w:rsid w:val="0530014B"/>
    <w:rsid w:val="053718C6"/>
    <w:rsid w:val="05385F08"/>
    <w:rsid w:val="053E1429"/>
    <w:rsid w:val="053E79FB"/>
    <w:rsid w:val="05423EA7"/>
    <w:rsid w:val="05446D9B"/>
    <w:rsid w:val="054642BD"/>
    <w:rsid w:val="054A3448"/>
    <w:rsid w:val="05502E8F"/>
    <w:rsid w:val="055204AE"/>
    <w:rsid w:val="055C61D2"/>
    <w:rsid w:val="055D21C6"/>
    <w:rsid w:val="055F383A"/>
    <w:rsid w:val="0560200D"/>
    <w:rsid w:val="05607B6D"/>
    <w:rsid w:val="056C21DE"/>
    <w:rsid w:val="057740E3"/>
    <w:rsid w:val="057905AA"/>
    <w:rsid w:val="057B7305"/>
    <w:rsid w:val="057C374D"/>
    <w:rsid w:val="057C552B"/>
    <w:rsid w:val="0580501B"/>
    <w:rsid w:val="058823EB"/>
    <w:rsid w:val="058B5484"/>
    <w:rsid w:val="058C1C12"/>
    <w:rsid w:val="05976035"/>
    <w:rsid w:val="05995112"/>
    <w:rsid w:val="059C7ED1"/>
    <w:rsid w:val="059D3E1F"/>
    <w:rsid w:val="05A63B03"/>
    <w:rsid w:val="05A76A4C"/>
    <w:rsid w:val="05A97824"/>
    <w:rsid w:val="05AB0323"/>
    <w:rsid w:val="05AF76AE"/>
    <w:rsid w:val="05B22981"/>
    <w:rsid w:val="05B4557D"/>
    <w:rsid w:val="05B60A3D"/>
    <w:rsid w:val="05B72A07"/>
    <w:rsid w:val="05BA73E6"/>
    <w:rsid w:val="05C321A6"/>
    <w:rsid w:val="05CF1AFF"/>
    <w:rsid w:val="05D6383F"/>
    <w:rsid w:val="05DD246D"/>
    <w:rsid w:val="05DE0AE5"/>
    <w:rsid w:val="05DF641A"/>
    <w:rsid w:val="05E33E84"/>
    <w:rsid w:val="05E34298"/>
    <w:rsid w:val="05EA06E6"/>
    <w:rsid w:val="05EB00AB"/>
    <w:rsid w:val="05EC4385"/>
    <w:rsid w:val="05F117D6"/>
    <w:rsid w:val="05F70F42"/>
    <w:rsid w:val="05FB0B46"/>
    <w:rsid w:val="05FE0636"/>
    <w:rsid w:val="060552AD"/>
    <w:rsid w:val="06055520"/>
    <w:rsid w:val="0607573C"/>
    <w:rsid w:val="06090798"/>
    <w:rsid w:val="060E6C50"/>
    <w:rsid w:val="060F5458"/>
    <w:rsid w:val="06135E8F"/>
    <w:rsid w:val="06171253"/>
    <w:rsid w:val="06173495"/>
    <w:rsid w:val="06192012"/>
    <w:rsid w:val="061D286A"/>
    <w:rsid w:val="06217064"/>
    <w:rsid w:val="06274011"/>
    <w:rsid w:val="06283BCD"/>
    <w:rsid w:val="062B79C9"/>
    <w:rsid w:val="062C06D4"/>
    <w:rsid w:val="062C2955"/>
    <w:rsid w:val="06336531"/>
    <w:rsid w:val="063522A9"/>
    <w:rsid w:val="06356FCC"/>
    <w:rsid w:val="06361B7E"/>
    <w:rsid w:val="0636658B"/>
    <w:rsid w:val="063B2B4D"/>
    <w:rsid w:val="06425AAB"/>
    <w:rsid w:val="06453D10"/>
    <w:rsid w:val="064C314F"/>
    <w:rsid w:val="064D45E7"/>
    <w:rsid w:val="06500E91"/>
    <w:rsid w:val="065546FA"/>
    <w:rsid w:val="06581AF4"/>
    <w:rsid w:val="065A3ABE"/>
    <w:rsid w:val="065B7836"/>
    <w:rsid w:val="065D710A"/>
    <w:rsid w:val="065E69A1"/>
    <w:rsid w:val="065F10D4"/>
    <w:rsid w:val="06782196"/>
    <w:rsid w:val="06797964"/>
    <w:rsid w:val="067A7CBC"/>
    <w:rsid w:val="067F1777"/>
    <w:rsid w:val="06823015"/>
    <w:rsid w:val="0685789C"/>
    <w:rsid w:val="068648B3"/>
    <w:rsid w:val="068950AA"/>
    <w:rsid w:val="068B044E"/>
    <w:rsid w:val="068C5C42"/>
    <w:rsid w:val="068E1821"/>
    <w:rsid w:val="069468A4"/>
    <w:rsid w:val="06952D48"/>
    <w:rsid w:val="069951ED"/>
    <w:rsid w:val="069A01B7"/>
    <w:rsid w:val="06A227E6"/>
    <w:rsid w:val="06A905A2"/>
    <w:rsid w:val="06AB1726"/>
    <w:rsid w:val="06AE6237"/>
    <w:rsid w:val="06B1728E"/>
    <w:rsid w:val="06B64A6C"/>
    <w:rsid w:val="06B71F1A"/>
    <w:rsid w:val="06B97FC5"/>
    <w:rsid w:val="06BA4498"/>
    <w:rsid w:val="06BC5892"/>
    <w:rsid w:val="06BF7DC5"/>
    <w:rsid w:val="06C53968"/>
    <w:rsid w:val="06CD0F77"/>
    <w:rsid w:val="06CD34E1"/>
    <w:rsid w:val="06D132F0"/>
    <w:rsid w:val="06D53145"/>
    <w:rsid w:val="06D80E87"/>
    <w:rsid w:val="06DA4BFF"/>
    <w:rsid w:val="06DE46EF"/>
    <w:rsid w:val="06DF5D71"/>
    <w:rsid w:val="06E15F8D"/>
    <w:rsid w:val="06E17D3B"/>
    <w:rsid w:val="06E25862"/>
    <w:rsid w:val="06E3363B"/>
    <w:rsid w:val="06E43C13"/>
    <w:rsid w:val="06E635A4"/>
    <w:rsid w:val="06F2178C"/>
    <w:rsid w:val="06F25E18"/>
    <w:rsid w:val="06F832D7"/>
    <w:rsid w:val="06F85085"/>
    <w:rsid w:val="06FF6F26"/>
    <w:rsid w:val="07034156"/>
    <w:rsid w:val="07087BA3"/>
    <w:rsid w:val="071134C1"/>
    <w:rsid w:val="0717375D"/>
    <w:rsid w:val="0719774C"/>
    <w:rsid w:val="072365A6"/>
    <w:rsid w:val="07290A84"/>
    <w:rsid w:val="072E6CF9"/>
    <w:rsid w:val="07303A1F"/>
    <w:rsid w:val="0737795B"/>
    <w:rsid w:val="073A28EC"/>
    <w:rsid w:val="073F4A62"/>
    <w:rsid w:val="07457AE8"/>
    <w:rsid w:val="07465DF0"/>
    <w:rsid w:val="074844C5"/>
    <w:rsid w:val="074B44A9"/>
    <w:rsid w:val="074B44E7"/>
    <w:rsid w:val="074D6EAC"/>
    <w:rsid w:val="07585B24"/>
    <w:rsid w:val="075A5067"/>
    <w:rsid w:val="075A58A3"/>
    <w:rsid w:val="075E6575"/>
    <w:rsid w:val="075F5104"/>
    <w:rsid w:val="07632E46"/>
    <w:rsid w:val="07643831"/>
    <w:rsid w:val="0765096C"/>
    <w:rsid w:val="0768045D"/>
    <w:rsid w:val="07747126"/>
    <w:rsid w:val="07754928"/>
    <w:rsid w:val="07775C58"/>
    <w:rsid w:val="07794418"/>
    <w:rsid w:val="077A3CEC"/>
    <w:rsid w:val="077C1812"/>
    <w:rsid w:val="077F3CE2"/>
    <w:rsid w:val="0781151E"/>
    <w:rsid w:val="0781179D"/>
    <w:rsid w:val="07866B35"/>
    <w:rsid w:val="07874ECE"/>
    <w:rsid w:val="07884C66"/>
    <w:rsid w:val="07886409"/>
    <w:rsid w:val="078A0991"/>
    <w:rsid w:val="07912E1D"/>
    <w:rsid w:val="07950B26"/>
    <w:rsid w:val="07980908"/>
    <w:rsid w:val="079976C3"/>
    <w:rsid w:val="079E06FB"/>
    <w:rsid w:val="07A019A5"/>
    <w:rsid w:val="07A02487"/>
    <w:rsid w:val="07A125EF"/>
    <w:rsid w:val="07A1571D"/>
    <w:rsid w:val="07A27EEC"/>
    <w:rsid w:val="07A34FF1"/>
    <w:rsid w:val="07A6072F"/>
    <w:rsid w:val="07A62D33"/>
    <w:rsid w:val="07AF7E3A"/>
    <w:rsid w:val="07BE1E2B"/>
    <w:rsid w:val="07BE3C47"/>
    <w:rsid w:val="07C44DAB"/>
    <w:rsid w:val="07C63767"/>
    <w:rsid w:val="07C72B94"/>
    <w:rsid w:val="07C75183"/>
    <w:rsid w:val="07C81505"/>
    <w:rsid w:val="07C95B96"/>
    <w:rsid w:val="07CB1548"/>
    <w:rsid w:val="07DE24CD"/>
    <w:rsid w:val="07E06245"/>
    <w:rsid w:val="07E37AE3"/>
    <w:rsid w:val="07E86EA8"/>
    <w:rsid w:val="07ED14C2"/>
    <w:rsid w:val="07ED6D99"/>
    <w:rsid w:val="07F6738F"/>
    <w:rsid w:val="07F7358F"/>
    <w:rsid w:val="07F92E63"/>
    <w:rsid w:val="07FF5371"/>
    <w:rsid w:val="07FF7612"/>
    <w:rsid w:val="0800264A"/>
    <w:rsid w:val="080312FD"/>
    <w:rsid w:val="080945EE"/>
    <w:rsid w:val="080A1514"/>
    <w:rsid w:val="080C528C"/>
    <w:rsid w:val="081123DB"/>
    <w:rsid w:val="08144141"/>
    <w:rsid w:val="08144660"/>
    <w:rsid w:val="0819764B"/>
    <w:rsid w:val="081B102B"/>
    <w:rsid w:val="081E64AF"/>
    <w:rsid w:val="08234384"/>
    <w:rsid w:val="08297BEC"/>
    <w:rsid w:val="082A5712"/>
    <w:rsid w:val="082C1B7F"/>
    <w:rsid w:val="08320BD9"/>
    <w:rsid w:val="0834033F"/>
    <w:rsid w:val="083708FF"/>
    <w:rsid w:val="083F434C"/>
    <w:rsid w:val="0842480A"/>
    <w:rsid w:val="08472B76"/>
    <w:rsid w:val="08491EBC"/>
    <w:rsid w:val="084A5DB4"/>
    <w:rsid w:val="084F4970"/>
    <w:rsid w:val="084F5152"/>
    <w:rsid w:val="08517143"/>
    <w:rsid w:val="08566507"/>
    <w:rsid w:val="085A1C41"/>
    <w:rsid w:val="085A435C"/>
    <w:rsid w:val="086001DE"/>
    <w:rsid w:val="08606886"/>
    <w:rsid w:val="08624EAC"/>
    <w:rsid w:val="08637F94"/>
    <w:rsid w:val="0865499C"/>
    <w:rsid w:val="08676B41"/>
    <w:rsid w:val="086A3D60"/>
    <w:rsid w:val="086C7AD9"/>
    <w:rsid w:val="086D08AF"/>
    <w:rsid w:val="086E091D"/>
    <w:rsid w:val="08706928"/>
    <w:rsid w:val="08716E9D"/>
    <w:rsid w:val="087C2431"/>
    <w:rsid w:val="087C4C0E"/>
    <w:rsid w:val="087F35DE"/>
    <w:rsid w:val="0888796E"/>
    <w:rsid w:val="088D6511"/>
    <w:rsid w:val="08941CC3"/>
    <w:rsid w:val="089779C0"/>
    <w:rsid w:val="0898418E"/>
    <w:rsid w:val="089B657F"/>
    <w:rsid w:val="08A94CE3"/>
    <w:rsid w:val="08B03E69"/>
    <w:rsid w:val="08B576D2"/>
    <w:rsid w:val="08BB45BC"/>
    <w:rsid w:val="08C07E24"/>
    <w:rsid w:val="08C967ED"/>
    <w:rsid w:val="08CC405D"/>
    <w:rsid w:val="08CE2541"/>
    <w:rsid w:val="08D860C2"/>
    <w:rsid w:val="08E237DC"/>
    <w:rsid w:val="08EB4EA1"/>
    <w:rsid w:val="08EB6C4F"/>
    <w:rsid w:val="08F04266"/>
    <w:rsid w:val="08F67809"/>
    <w:rsid w:val="08FA1588"/>
    <w:rsid w:val="08FE0D7F"/>
    <w:rsid w:val="09063A89"/>
    <w:rsid w:val="09067FAC"/>
    <w:rsid w:val="09081F81"/>
    <w:rsid w:val="090B5543"/>
    <w:rsid w:val="090F31A0"/>
    <w:rsid w:val="0913631F"/>
    <w:rsid w:val="091677DA"/>
    <w:rsid w:val="09167A44"/>
    <w:rsid w:val="09185C02"/>
    <w:rsid w:val="092263E9"/>
    <w:rsid w:val="09241E9C"/>
    <w:rsid w:val="09267C87"/>
    <w:rsid w:val="092C3A18"/>
    <w:rsid w:val="092F0B21"/>
    <w:rsid w:val="09300B06"/>
    <w:rsid w:val="09304FAA"/>
    <w:rsid w:val="09322AD0"/>
    <w:rsid w:val="093D3223"/>
    <w:rsid w:val="09480A12"/>
    <w:rsid w:val="094822F4"/>
    <w:rsid w:val="094D16B8"/>
    <w:rsid w:val="09502F56"/>
    <w:rsid w:val="09513560"/>
    <w:rsid w:val="09523172"/>
    <w:rsid w:val="09526CCE"/>
    <w:rsid w:val="095532A4"/>
    <w:rsid w:val="095F763D"/>
    <w:rsid w:val="09616F12"/>
    <w:rsid w:val="0962182F"/>
    <w:rsid w:val="0963785C"/>
    <w:rsid w:val="09694018"/>
    <w:rsid w:val="096D3B08"/>
    <w:rsid w:val="096D3CF2"/>
    <w:rsid w:val="096E6EE5"/>
    <w:rsid w:val="096E7880"/>
    <w:rsid w:val="096F639D"/>
    <w:rsid w:val="09720F08"/>
    <w:rsid w:val="0974526D"/>
    <w:rsid w:val="09746353"/>
    <w:rsid w:val="09784C3E"/>
    <w:rsid w:val="097E3F67"/>
    <w:rsid w:val="09862E1C"/>
    <w:rsid w:val="09867016"/>
    <w:rsid w:val="098A486F"/>
    <w:rsid w:val="098D5F59"/>
    <w:rsid w:val="099077F7"/>
    <w:rsid w:val="099371E9"/>
    <w:rsid w:val="099472DF"/>
    <w:rsid w:val="0995305F"/>
    <w:rsid w:val="09965846"/>
    <w:rsid w:val="09976DD7"/>
    <w:rsid w:val="099A0675"/>
    <w:rsid w:val="099F0EAF"/>
    <w:rsid w:val="09A649DC"/>
    <w:rsid w:val="09AA4FAB"/>
    <w:rsid w:val="09AC5082"/>
    <w:rsid w:val="09AE3720"/>
    <w:rsid w:val="09B039F5"/>
    <w:rsid w:val="09B2776D"/>
    <w:rsid w:val="09B554AF"/>
    <w:rsid w:val="09B75C77"/>
    <w:rsid w:val="09B8487F"/>
    <w:rsid w:val="09B90AFC"/>
    <w:rsid w:val="09B91120"/>
    <w:rsid w:val="09BA16A4"/>
    <w:rsid w:val="09C35E1E"/>
    <w:rsid w:val="09CA0F5B"/>
    <w:rsid w:val="09CB187F"/>
    <w:rsid w:val="09CD27F9"/>
    <w:rsid w:val="09CE3521"/>
    <w:rsid w:val="09CF3C93"/>
    <w:rsid w:val="09D03839"/>
    <w:rsid w:val="09D65C88"/>
    <w:rsid w:val="09D73678"/>
    <w:rsid w:val="09DB7E49"/>
    <w:rsid w:val="09DC7F62"/>
    <w:rsid w:val="09EB219B"/>
    <w:rsid w:val="09ED189B"/>
    <w:rsid w:val="09ED6108"/>
    <w:rsid w:val="09ED69F7"/>
    <w:rsid w:val="09F06E7C"/>
    <w:rsid w:val="09F075F0"/>
    <w:rsid w:val="09F2400E"/>
    <w:rsid w:val="09F45FD8"/>
    <w:rsid w:val="09F61D50"/>
    <w:rsid w:val="09F90EE4"/>
    <w:rsid w:val="09F9539C"/>
    <w:rsid w:val="09FC30DE"/>
    <w:rsid w:val="09FC4E8C"/>
    <w:rsid w:val="09FF21CC"/>
    <w:rsid w:val="0A014251"/>
    <w:rsid w:val="0A033EB1"/>
    <w:rsid w:val="0A0501BC"/>
    <w:rsid w:val="0A051F93"/>
    <w:rsid w:val="0A060845"/>
    <w:rsid w:val="0A0B50CF"/>
    <w:rsid w:val="0A0B6CA9"/>
    <w:rsid w:val="0A0C144F"/>
    <w:rsid w:val="0A0F4BBF"/>
    <w:rsid w:val="0A14667A"/>
    <w:rsid w:val="0A1F3AE9"/>
    <w:rsid w:val="0A275609"/>
    <w:rsid w:val="0A2A0E89"/>
    <w:rsid w:val="0A397E8E"/>
    <w:rsid w:val="0A3F378B"/>
    <w:rsid w:val="0A430D0D"/>
    <w:rsid w:val="0A432ABB"/>
    <w:rsid w:val="0A44774A"/>
    <w:rsid w:val="0A4505E1"/>
    <w:rsid w:val="0A4A0A8D"/>
    <w:rsid w:val="0A521A71"/>
    <w:rsid w:val="0A595E3B"/>
    <w:rsid w:val="0A5B0944"/>
    <w:rsid w:val="0A5D1DCF"/>
    <w:rsid w:val="0A60263D"/>
    <w:rsid w:val="0A6045EE"/>
    <w:rsid w:val="0A617525"/>
    <w:rsid w:val="0A656ED5"/>
    <w:rsid w:val="0A6E5D8A"/>
    <w:rsid w:val="0A6E7369"/>
    <w:rsid w:val="0A71026A"/>
    <w:rsid w:val="0A7858FE"/>
    <w:rsid w:val="0A7B4003"/>
    <w:rsid w:val="0A7F70B2"/>
    <w:rsid w:val="0A833A13"/>
    <w:rsid w:val="0A8729A8"/>
    <w:rsid w:val="0A885D17"/>
    <w:rsid w:val="0A8F5F6E"/>
    <w:rsid w:val="0A9553C1"/>
    <w:rsid w:val="0A982E07"/>
    <w:rsid w:val="0A9A3069"/>
    <w:rsid w:val="0A9B0F66"/>
    <w:rsid w:val="0A9B6453"/>
    <w:rsid w:val="0AA01CBB"/>
    <w:rsid w:val="0AA238BB"/>
    <w:rsid w:val="0AA23D71"/>
    <w:rsid w:val="0AA25A34"/>
    <w:rsid w:val="0AA736ED"/>
    <w:rsid w:val="0AA96DC2"/>
    <w:rsid w:val="0AAB6E9A"/>
    <w:rsid w:val="0AAE6186"/>
    <w:rsid w:val="0AB063A2"/>
    <w:rsid w:val="0AB26FE6"/>
    <w:rsid w:val="0AB27159"/>
    <w:rsid w:val="0AC77248"/>
    <w:rsid w:val="0AC91212"/>
    <w:rsid w:val="0AC92E5B"/>
    <w:rsid w:val="0ACB0FFE"/>
    <w:rsid w:val="0ACC485F"/>
    <w:rsid w:val="0ACE6829"/>
    <w:rsid w:val="0AD26B1C"/>
    <w:rsid w:val="0AD358FE"/>
    <w:rsid w:val="0AD55013"/>
    <w:rsid w:val="0AD864EA"/>
    <w:rsid w:val="0ADB3A51"/>
    <w:rsid w:val="0ADC43EA"/>
    <w:rsid w:val="0AE20526"/>
    <w:rsid w:val="0AE61DC4"/>
    <w:rsid w:val="0AEA1189"/>
    <w:rsid w:val="0AEB574B"/>
    <w:rsid w:val="0AF10769"/>
    <w:rsid w:val="0AF20B04"/>
    <w:rsid w:val="0B047B7A"/>
    <w:rsid w:val="0B082D3B"/>
    <w:rsid w:val="0B0C3D5B"/>
    <w:rsid w:val="0B0E0C99"/>
    <w:rsid w:val="0B116715"/>
    <w:rsid w:val="0B177945"/>
    <w:rsid w:val="0B1B3304"/>
    <w:rsid w:val="0B1E6E07"/>
    <w:rsid w:val="0B1F0E32"/>
    <w:rsid w:val="0B204BAA"/>
    <w:rsid w:val="0B226B74"/>
    <w:rsid w:val="0B242933"/>
    <w:rsid w:val="0B275701"/>
    <w:rsid w:val="0B352404"/>
    <w:rsid w:val="0B356EDF"/>
    <w:rsid w:val="0B362FB3"/>
    <w:rsid w:val="0B396C99"/>
    <w:rsid w:val="0B3A5C6C"/>
    <w:rsid w:val="0B3D0414"/>
    <w:rsid w:val="0B400C37"/>
    <w:rsid w:val="0B410FF9"/>
    <w:rsid w:val="0B41524D"/>
    <w:rsid w:val="0B491B1F"/>
    <w:rsid w:val="0B491C9B"/>
    <w:rsid w:val="0B4B1C27"/>
    <w:rsid w:val="0B4E5BBB"/>
    <w:rsid w:val="0B4E7969"/>
    <w:rsid w:val="0B4F1200"/>
    <w:rsid w:val="0B56306D"/>
    <w:rsid w:val="0B5A4560"/>
    <w:rsid w:val="0B5B6F62"/>
    <w:rsid w:val="0B5C5BE2"/>
    <w:rsid w:val="0B6251C3"/>
    <w:rsid w:val="0B62578E"/>
    <w:rsid w:val="0B666A61"/>
    <w:rsid w:val="0B671306"/>
    <w:rsid w:val="0B6E114C"/>
    <w:rsid w:val="0B705B32"/>
    <w:rsid w:val="0B730D41"/>
    <w:rsid w:val="0B754EF6"/>
    <w:rsid w:val="0B7E2D3C"/>
    <w:rsid w:val="0B7F2097"/>
    <w:rsid w:val="0B816068"/>
    <w:rsid w:val="0B8822D5"/>
    <w:rsid w:val="0B882E7B"/>
    <w:rsid w:val="0B8D7A7B"/>
    <w:rsid w:val="0B925AA8"/>
    <w:rsid w:val="0B957346"/>
    <w:rsid w:val="0B960605"/>
    <w:rsid w:val="0B9E444D"/>
    <w:rsid w:val="0BA66E14"/>
    <w:rsid w:val="0BA8707A"/>
    <w:rsid w:val="0BA95CF7"/>
    <w:rsid w:val="0BAA1A27"/>
    <w:rsid w:val="0BAB4DBC"/>
    <w:rsid w:val="0BAB6B6A"/>
    <w:rsid w:val="0BB43DC1"/>
    <w:rsid w:val="0BB84DE3"/>
    <w:rsid w:val="0BBA6DAD"/>
    <w:rsid w:val="0BBB61E8"/>
    <w:rsid w:val="0BC21987"/>
    <w:rsid w:val="0BC24E23"/>
    <w:rsid w:val="0BC95C25"/>
    <w:rsid w:val="0BC97717"/>
    <w:rsid w:val="0BCB720C"/>
    <w:rsid w:val="0BD0037E"/>
    <w:rsid w:val="0BD53700"/>
    <w:rsid w:val="0BDC31C7"/>
    <w:rsid w:val="0BDF05C2"/>
    <w:rsid w:val="0BE502CE"/>
    <w:rsid w:val="0BEC3986"/>
    <w:rsid w:val="0BF422BF"/>
    <w:rsid w:val="0C006EB6"/>
    <w:rsid w:val="0C025D76"/>
    <w:rsid w:val="0C0528DF"/>
    <w:rsid w:val="0C074108"/>
    <w:rsid w:val="0C083FBC"/>
    <w:rsid w:val="0C085D6A"/>
    <w:rsid w:val="0C087B18"/>
    <w:rsid w:val="0C0A3890"/>
    <w:rsid w:val="0C0D0AF5"/>
    <w:rsid w:val="0C0D512F"/>
    <w:rsid w:val="0C1069CD"/>
    <w:rsid w:val="0C142961"/>
    <w:rsid w:val="0C160487"/>
    <w:rsid w:val="0C175FAD"/>
    <w:rsid w:val="0C1A7759"/>
    <w:rsid w:val="0C1B0043"/>
    <w:rsid w:val="0C24558C"/>
    <w:rsid w:val="0C252478"/>
    <w:rsid w:val="0C2544F9"/>
    <w:rsid w:val="0C351053"/>
    <w:rsid w:val="0C382FA7"/>
    <w:rsid w:val="0C383EE1"/>
    <w:rsid w:val="0C3C5A14"/>
    <w:rsid w:val="0C3E1FC5"/>
    <w:rsid w:val="0C3F5A73"/>
    <w:rsid w:val="0C430B50"/>
    <w:rsid w:val="0C460641"/>
    <w:rsid w:val="0C4A50D8"/>
    <w:rsid w:val="0C5523FB"/>
    <w:rsid w:val="0C622544"/>
    <w:rsid w:val="0C6236CC"/>
    <w:rsid w:val="0C637445"/>
    <w:rsid w:val="0C730147"/>
    <w:rsid w:val="0C7C404C"/>
    <w:rsid w:val="0C7E087B"/>
    <w:rsid w:val="0C7E602C"/>
    <w:rsid w:val="0C806702"/>
    <w:rsid w:val="0C831895"/>
    <w:rsid w:val="0C886EAB"/>
    <w:rsid w:val="0C8D173D"/>
    <w:rsid w:val="0C9413AC"/>
    <w:rsid w:val="0C947628"/>
    <w:rsid w:val="0C975E61"/>
    <w:rsid w:val="0CA95633"/>
    <w:rsid w:val="0CB44337"/>
    <w:rsid w:val="0CB95428"/>
    <w:rsid w:val="0CBA3508"/>
    <w:rsid w:val="0CC96473"/>
    <w:rsid w:val="0CCB1E91"/>
    <w:rsid w:val="0CD47CE9"/>
    <w:rsid w:val="0CD90FF9"/>
    <w:rsid w:val="0CE776EA"/>
    <w:rsid w:val="0CF167FE"/>
    <w:rsid w:val="0CFA67BC"/>
    <w:rsid w:val="0D006A41"/>
    <w:rsid w:val="0D07023E"/>
    <w:rsid w:val="0D0B3D64"/>
    <w:rsid w:val="0D10137A"/>
    <w:rsid w:val="0D1150F2"/>
    <w:rsid w:val="0D15073F"/>
    <w:rsid w:val="0D15587A"/>
    <w:rsid w:val="0D166265"/>
    <w:rsid w:val="0D200647"/>
    <w:rsid w:val="0D2070E4"/>
    <w:rsid w:val="0D240982"/>
    <w:rsid w:val="0D2456B1"/>
    <w:rsid w:val="0D336E17"/>
    <w:rsid w:val="0D3C011E"/>
    <w:rsid w:val="0D3F0613"/>
    <w:rsid w:val="0D436963"/>
    <w:rsid w:val="0D437528"/>
    <w:rsid w:val="0D4845A7"/>
    <w:rsid w:val="0D54570B"/>
    <w:rsid w:val="0D58062B"/>
    <w:rsid w:val="0D5C636E"/>
    <w:rsid w:val="0D63553A"/>
    <w:rsid w:val="0D682F64"/>
    <w:rsid w:val="0D6B4803"/>
    <w:rsid w:val="0D6B6A96"/>
    <w:rsid w:val="0D731909"/>
    <w:rsid w:val="0D7336B7"/>
    <w:rsid w:val="0D766D04"/>
    <w:rsid w:val="0D815DD4"/>
    <w:rsid w:val="0D825F13"/>
    <w:rsid w:val="0D841421"/>
    <w:rsid w:val="0D86159D"/>
    <w:rsid w:val="0D865199"/>
    <w:rsid w:val="0D8E229F"/>
    <w:rsid w:val="0D92314B"/>
    <w:rsid w:val="0D935B07"/>
    <w:rsid w:val="0D9F6FBD"/>
    <w:rsid w:val="0DA16476"/>
    <w:rsid w:val="0DA21A2A"/>
    <w:rsid w:val="0DA278B6"/>
    <w:rsid w:val="0DA27BD7"/>
    <w:rsid w:val="0DA47D15"/>
    <w:rsid w:val="0DA50A51"/>
    <w:rsid w:val="0DAD6BC9"/>
    <w:rsid w:val="0DB00467"/>
    <w:rsid w:val="0DB309F6"/>
    <w:rsid w:val="0DB51F60"/>
    <w:rsid w:val="0DBA2B72"/>
    <w:rsid w:val="0DBD7953"/>
    <w:rsid w:val="0DBF4728"/>
    <w:rsid w:val="0DC161D1"/>
    <w:rsid w:val="0DC676A5"/>
    <w:rsid w:val="0DD27BE1"/>
    <w:rsid w:val="0DD30FD9"/>
    <w:rsid w:val="0DD423A8"/>
    <w:rsid w:val="0DD979BE"/>
    <w:rsid w:val="0DD97F16"/>
    <w:rsid w:val="0DDA3736"/>
    <w:rsid w:val="0DDC74AE"/>
    <w:rsid w:val="0DDE4FD5"/>
    <w:rsid w:val="0DE14AC5"/>
    <w:rsid w:val="0DE16873"/>
    <w:rsid w:val="0DE819AF"/>
    <w:rsid w:val="0DEF34EA"/>
    <w:rsid w:val="0DF33CF9"/>
    <w:rsid w:val="0DF530CF"/>
    <w:rsid w:val="0E0015E1"/>
    <w:rsid w:val="0E0A5DCA"/>
    <w:rsid w:val="0E105B1B"/>
    <w:rsid w:val="0E153174"/>
    <w:rsid w:val="0E1E6DCA"/>
    <w:rsid w:val="0E230821"/>
    <w:rsid w:val="0E2618CA"/>
    <w:rsid w:val="0E280371"/>
    <w:rsid w:val="0E2826F4"/>
    <w:rsid w:val="0E2A1FC8"/>
    <w:rsid w:val="0E2B31D7"/>
    <w:rsid w:val="0E2B3F92"/>
    <w:rsid w:val="0E35016F"/>
    <w:rsid w:val="0E364E11"/>
    <w:rsid w:val="0E3952C9"/>
    <w:rsid w:val="0E48590C"/>
    <w:rsid w:val="0E4E7891"/>
    <w:rsid w:val="0E4F5A45"/>
    <w:rsid w:val="0E516EE8"/>
    <w:rsid w:val="0E573AE6"/>
    <w:rsid w:val="0E5E4367"/>
    <w:rsid w:val="0E6965A3"/>
    <w:rsid w:val="0E7B5DF9"/>
    <w:rsid w:val="0E801606"/>
    <w:rsid w:val="0E804899"/>
    <w:rsid w:val="0E811E04"/>
    <w:rsid w:val="0E833DCE"/>
    <w:rsid w:val="0E87566C"/>
    <w:rsid w:val="0E884F40"/>
    <w:rsid w:val="0E8C14E5"/>
    <w:rsid w:val="0E8C4A31"/>
    <w:rsid w:val="0E904057"/>
    <w:rsid w:val="0E94484B"/>
    <w:rsid w:val="0E981627"/>
    <w:rsid w:val="0E9A4740"/>
    <w:rsid w:val="0E9E4764"/>
    <w:rsid w:val="0EA0672E"/>
    <w:rsid w:val="0EA224A6"/>
    <w:rsid w:val="0EA60884"/>
    <w:rsid w:val="0EA64923"/>
    <w:rsid w:val="0EA70113"/>
    <w:rsid w:val="0EAA135B"/>
    <w:rsid w:val="0EAA3109"/>
    <w:rsid w:val="0EAC42C2"/>
    <w:rsid w:val="0EB45D35"/>
    <w:rsid w:val="0EB60EDD"/>
    <w:rsid w:val="0EB65F51"/>
    <w:rsid w:val="0EB7737A"/>
    <w:rsid w:val="0EC35F79"/>
    <w:rsid w:val="0EC870E3"/>
    <w:rsid w:val="0ECA56CE"/>
    <w:rsid w:val="0ECA7307"/>
    <w:rsid w:val="0ED21CA0"/>
    <w:rsid w:val="0ED65CAC"/>
    <w:rsid w:val="0EDE1CCA"/>
    <w:rsid w:val="0EE02FCE"/>
    <w:rsid w:val="0EE52393"/>
    <w:rsid w:val="0EF56C14"/>
    <w:rsid w:val="0EFB1CFD"/>
    <w:rsid w:val="0EFC0C1C"/>
    <w:rsid w:val="0F07439F"/>
    <w:rsid w:val="0F0D6A13"/>
    <w:rsid w:val="0F0E18EA"/>
    <w:rsid w:val="0F1669F0"/>
    <w:rsid w:val="0F1E7653"/>
    <w:rsid w:val="0F1F6AB5"/>
    <w:rsid w:val="0F216F7F"/>
    <w:rsid w:val="0F2A5FF8"/>
    <w:rsid w:val="0F37290B"/>
    <w:rsid w:val="0F384BB8"/>
    <w:rsid w:val="0F390DFE"/>
    <w:rsid w:val="0F3B0205"/>
    <w:rsid w:val="0F3B0B7C"/>
    <w:rsid w:val="0F403A6D"/>
    <w:rsid w:val="0F4672D5"/>
    <w:rsid w:val="0F580DB7"/>
    <w:rsid w:val="0F592783"/>
    <w:rsid w:val="0F6239E3"/>
    <w:rsid w:val="0F6C03BE"/>
    <w:rsid w:val="0F753717"/>
    <w:rsid w:val="0F790C96"/>
    <w:rsid w:val="0F7F1AEA"/>
    <w:rsid w:val="0F7F6343"/>
    <w:rsid w:val="0F8064F5"/>
    <w:rsid w:val="0F8A03F4"/>
    <w:rsid w:val="0F8B4FC9"/>
    <w:rsid w:val="0F9718DF"/>
    <w:rsid w:val="0F9B0CA3"/>
    <w:rsid w:val="0F9E586F"/>
    <w:rsid w:val="0F9F1F44"/>
    <w:rsid w:val="0FAB714E"/>
    <w:rsid w:val="0FB12F47"/>
    <w:rsid w:val="0FB209D1"/>
    <w:rsid w:val="0FB26719"/>
    <w:rsid w:val="0FC63F72"/>
    <w:rsid w:val="0FC85D96"/>
    <w:rsid w:val="0FC86465"/>
    <w:rsid w:val="0FC91CB4"/>
    <w:rsid w:val="0FC92E5D"/>
    <w:rsid w:val="0FD2429C"/>
    <w:rsid w:val="0FD32F64"/>
    <w:rsid w:val="0FD536AF"/>
    <w:rsid w:val="0FD974B5"/>
    <w:rsid w:val="0FDA10E1"/>
    <w:rsid w:val="0FDC15A2"/>
    <w:rsid w:val="0FDF0F1F"/>
    <w:rsid w:val="0FE10DAC"/>
    <w:rsid w:val="0FEB55C0"/>
    <w:rsid w:val="0FED58DD"/>
    <w:rsid w:val="0FF54858"/>
    <w:rsid w:val="0FF6261F"/>
    <w:rsid w:val="0FFD54BA"/>
    <w:rsid w:val="10050BC2"/>
    <w:rsid w:val="10086339"/>
    <w:rsid w:val="100F74C5"/>
    <w:rsid w:val="10204103"/>
    <w:rsid w:val="102173FB"/>
    <w:rsid w:val="10225DB7"/>
    <w:rsid w:val="10283DE0"/>
    <w:rsid w:val="10284C2D"/>
    <w:rsid w:val="102E6005"/>
    <w:rsid w:val="102F723D"/>
    <w:rsid w:val="102F7D69"/>
    <w:rsid w:val="103233B6"/>
    <w:rsid w:val="10340523"/>
    <w:rsid w:val="10345380"/>
    <w:rsid w:val="103510F8"/>
    <w:rsid w:val="103C4CDA"/>
    <w:rsid w:val="103F3D25"/>
    <w:rsid w:val="10410FBC"/>
    <w:rsid w:val="10417A9D"/>
    <w:rsid w:val="10437371"/>
    <w:rsid w:val="10445B3A"/>
    <w:rsid w:val="10507CE0"/>
    <w:rsid w:val="1054157E"/>
    <w:rsid w:val="105552F6"/>
    <w:rsid w:val="105A46BB"/>
    <w:rsid w:val="105B0B5E"/>
    <w:rsid w:val="105D7EFA"/>
    <w:rsid w:val="106268F9"/>
    <w:rsid w:val="106E302B"/>
    <w:rsid w:val="10727C56"/>
    <w:rsid w:val="10743D46"/>
    <w:rsid w:val="1074577C"/>
    <w:rsid w:val="10751EDB"/>
    <w:rsid w:val="1076383E"/>
    <w:rsid w:val="107667D8"/>
    <w:rsid w:val="107C6D27"/>
    <w:rsid w:val="107F1172"/>
    <w:rsid w:val="10806817"/>
    <w:rsid w:val="1082572B"/>
    <w:rsid w:val="10847CA2"/>
    <w:rsid w:val="10861D00"/>
    <w:rsid w:val="108856CC"/>
    <w:rsid w:val="10897DC1"/>
    <w:rsid w:val="108A31F2"/>
    <w:rsid w:val="108C05BC"/>
    <w:rsid w:val="108C7E73"/>
    <w:rsid w:val="10924409"/>
    <w:rsid w:val="10945E1E"/>
    <w:rsid w:val="10961B97"/>
    <w:rsid w:val="1097590F"/>
    <w:rsid w:val="109A0F5B"/>
    <w:rsid w:val="109C6E08"/>
    <w:rsid w:val="109D38E5"/>
    <w:rsid w:val="10A73DA4"/>
    <w:rsid w:val="10A81B4E"/>
    <w:rsid w:val="10AF2AA0"/>
    <w:rsid w:val="10B15B88"/>
    <w:rsid w:val="10B25556"/>
    <w:rsid w:val="10BD35C7"/>
    <w:rsid w:val="10C36704"/>
    <w:rsid w:val="10C57F43"/>
    <w:rsid w:val="10CB1403"/>
    <w:rsid w:val="10CB46D5"/>
    <w:rsid w:val="10CC26C6"/>
    <w:rsid w:val="10D178C8"/>
    <w:rsid w:val="10D64874"/>
    <w:rsid w:val="10D95F27"/>
    <w:rsid w:val="10E01064"/>
    <w:rsid w:val="10E41B35"/>
    <w:rsid w:val="10F37CE8"/>
    <w:rsid w:val="10FA3588"/>
    <w:rsid w:val="10FA7E50"/>
    <w:rsid w:val="10FB22F3"/>
    <w:rsid w:val="10FE773C"/>
    <w:rsid w:val="1100302F"/>
    <w:rsid w:val="11032FA4"/>
    <w:rsid w:val="11084CC8"/>
    <w:rsid w:val="110A6DB8"/>
    <w:rsid w:val="110A7E8F"/>
    <w:rsid w:val="110D797F"/>
    <w:rsid w:val="111104FB"/>
    <w:rsid w:val="11164A85"/>
    <w:rsid w:val="11177B40"/>
    <w:rsid w:val="11184822"/>
    <w:rsid w:val="11194576"/>
    <w:rsid w:val="111D6C64"/>
    <w:rsid w:val="11203487"/>
    <w:rsid w:val="11220A9F"/>
    <w:rsid w:val="11240B18"/>
    <w:rsid w:val="113066F3"/>
    <w:rsid w:val="113118BF"/>
    <w:rsid w:val="11317B11"/>
    <w:rsid w:val="11380EA0"/>
    <w:rsid w:val="113A6F07"/>
    <w:rsid w:val="113F222E"/>
    <w:rsid w:val="11423ACC"/>
    <w:rsid w:val="114A2981"/>
    <w:rsid w:val="114E06C3"/>
    <w:rsid w:val="114F1E95"/>
    <w:rsid w:val="114F61E9"/>
    <w:rsid w:val="115224EB"/>
    <w:rsid w:val="11562277"/>
    <w:rsid w:val="11572299"/>
    <w:rsid w:val="115A329F"/>
    <w:rsid w:val="116457F1"/>
    <w:rsid w:val="116577BB"/>
    <w:rsid w:val="11660B07"/>
    <w:rsid w:val="116715A3"/>
    <w:rsid w:val="116972AB"/>
    <w:rsid w:val="116A6B7F"/>
    <w:rsid w:val="116E48C1"/>
    <w:rsid w:val="117477A7"/>
    <w:rsid w:val="117874EE"/>
    <w:rsid w:val="117B2B3A"/>
    <w:rsid w:val="117D68B3"/>
    <w:rsid w:val="118045F5"/>
    <w:rsid w:val="11856608"/>
    <w:rsid w:val="118D5678"/>
    <w:rsid w:val="118E0AC0"/>
    <w:rsid w:val="119220D9"/>
    <w:rsid w:val="11927D7E"/>
    <w:rsid w:val="1193660A"/>
    <w:rsid w:val="11974B0B"/>
    <w:rsid w:val="119B3F72"/>
    <w:rsid w:val="119F400B"/>
    <w:rsid w:val="11A435F0"/>
    <w:rsid w:val="11A44BEB"/>
    <w:rsid w:val="11AB78C4"/>
    <w:rsid w:val="11AE2F10"/>
    <w:rsid w:val="11AF530F"/>
    <w:rsid w:val="11B1372D"/>
    <w:rsid w:val="11B27F68"/>
    <w:rsid w:val="11BA0B11"/>
    <w:rsid w:val="11C24C0D"/>
    <w:rsid w:val="11C52008"/>
    <w:rsid w:val="11C664AC"/>
    <w:rsid w:val="11CB205D"/>
    <w:rsid w:val="11D010D8"/>
    <w:rsid w:val="11D0732A"/>
    <w:rsid w:val="11D10EB5"/>
    <w:rsid w:val="11D40CDE"/>
    <w:rsid w:val="11D72467"/>
    <w:rsid w:val="11D861DF"/>
    <w:rsid w:val="11D87F8D"/>
    <w:rsid w:val="11DF131B"/>
    <w:rsid w:val="11E95D4A"/>
    <w:rsid w:val="11EB182E"/>
    <w:rsid w:val="11EE69CD"/>
    <w:rsid w:val="11F46503"/>
    <w:rsid w:val="11FA7F03"/>
    <w:rsid w:val="11FD5DFF"/>
    <w:rsid w:val="12016ED3"/>
    <w:rsid w:val="12046113"/>
    <w:rsid w:val="120E1C01"/>
    <w:rsid w:val="12107D0A"/>
    <w:rsid w:val="1215405E"/>
    <w:rsid w:val="121548EA"/>
    <w:rsid w:val="121A2353"/>
    <w:rsid w:val="121C60CC"/>
    <w:rsid w:val="122112D8"/>
    <w:rsid w:val="122976B4"/>
    <w:rsid w:val="122A6293"/>
    <w:rsid w:val="122D2087"/>
    <w:rsid w:val="123A0C48"/>
    <w:rsid w:val="123D7305"/>
    <w:rsid w:val="124318AA"/>
    <w:rsid w:val="12456B79"/>
    <w:rsid w:val="124B075F"/>
    <w:rsid w:val="124B1825"/>
    <w:rsid w:val="12581183"/>
    <w:rsid w:val="125B6DA4"/>
    <w:rsid w:val="12631F4C"/>
    <w:rsid w:val="1269375A"/>
    <w:rsid w:val="127030FC"/>
    <w:rsid w:val="12761059"/>
    <w:rsid w:val="127722B3"/>
    <w:rsid w:val="12785566"/>
    <w:rsid w:val="127952CC"/>
    <w:rsid w:val="127A264C"/>
    <w:rsid w:val="127E24C3"/>
    <w:rsid w:val="12851EC3"/>
    <w:rsid w:val="129245E0"/>
    <w:rsid w:val="1296467B"/>
    <w:rsid w:val="12990ED2"/>
    <w:rsid w:val="12A460C1"/>
    <w:rsid w:val="12A531DF"/>
    <w:rsid w:val="12A81E68"/>
    <w:rsid w:val="12AD3977"/>
    <w:rsid w:val="12AF2A9B"/>
    <w:rsid w:val="12AF5192"/>
    <w:rsid w:val="12B10F0A"/>
    <w:rsid w:val="12B11445"/>
    <w:rsid w:val="12B72298"/>
    <w:rsid w:val="12C50511"/>
    <w:rsid w:val="12CF3D31"/>
    <w:rsid w:val="12D31D92"/>
    <w:rsid w:val="12D44BF8"/>
    <w:rsid w:val="12D469A6"/>
    <w:rsid w:val="12D55375"/>
    <w:rsid w:val="12DB7D35"/>
    <w:rsid w:val="12E04194"/>
    <w:rsid w:val="12ED1816"/>
    <w:rsid w:val="12EF37E0"/>
    <w:rsid w:val="12F157AA"/>
    <w:rsid w:val="12F26E2C"/>
    <w:rsid w:val="12F64B6E"/>
    <w:rsid w:val="12F928B1"/>
    <w:rsid w:val="12FD29AC"/>
    <w:rsid w:val="130628D8"/>
    <w:rsid w:val="13090741"/>
    <w:rsid w:val="130A061A"/>
    <w:rsid w:val="130A23FE"/>
    <w:rsid w:val="130A522E"/>
    <w:rsid w:val="130D1EB8"/>
    <w:rsid w:val="130E5CFD"/>
    <w:rsid w:val="130F04E0"/>
    <w:rsid w:val="131075CC"/>
    <w:rsid w:val="131F390F"/>
    <w:rsid w:val="132004B7"/>
    <w:rsid w:val="13206333"/>
    <w:rsid w:val="13217712"/>
    <w:rsid w:val="1324792E"/>
    <w:rsid w:val="13280AA0"/>
    <w:rsid w:val="13284315"/>
    <w:rsid w:val="132A0CBC"/>
    <w:rsid w:val="132B19B0"/>
    <w:rsid w:val="133D279D"/>
    <w:rsid w:val="133D454B"/>
    <w:rsid w:val="133E4FDE"/>
    <w:rsid w:val="133F533E"/>
    <w:rsid w:val="13402C69"/>
    <w:rsid w:val="13406DB3"/>
    <w:rsid w:val="13497480"/>
    <w:rsid w:val="134F0723"/>
    <w:rsid w:val="13511DA5"/>
    <w:rsid w:val="13525B1D"/>
    <w:rsid w:val="135845E7"/>
    <w:rsid w:val="135A05C9"/>
    <w:rsid w:val="135C5B39"/>
    <w:rsid w:val="136C39C6"/>
    <w:rsid w:val="136E2957"/>
    <w:rsid w:val="13747045"/>
    <w:rsid w:val="13765CAF"/>
    <w:rsid w:val="13777B09"/>
    <w:rsid w:val="13780162"/>
    <w:rsid w:val="137E298C"/>
    <w:rsid w:val="137F4B8A"/>
    <w:rsid w:val="137F7F5A"/>
    <w:rsid w:val="13873A19"/>
    <w:rsid w:val="138A3509"/>
    <w:rsid w:val="138C1BB8"/>
    <w:rsid w:val="138E2FF9"/>
    <w:rsid w:val="139129B9"/>
    <w:rsid w:val="139452E8"/>
    <w:rsid w:val="13960100"/>
    <w:rsid w:val="139D529F"/>
    <w:rsid w:val="139F13D4"/>
    <w:rsid w:val="139F20ED"/>
    <w:rsid w:val="139F52BA"/>
    <w:rsid w:val="13A0107A"/>
    <w:rsid w:val="13A10F7E"/>
    <w:rsid w:val="13A271B9"/>
    <w:rsid w:val="13A46379"/>
    <w:rsid w:val="13A5777A"/>
    <w:rsid w:val="13B10A95"/>
    <w:rsid w:val="13B32F16"/>
    <w:rsid w:val="13B643B1"/>
    <w:rsid w:val="13BB6F21"/>
    <w:rsid w:val="13C46A1B"/>
    <w:rsid w:val="13CA7861"/>
    <w:rsid w:val="13CF2620"/>
    <w:rsid w:val="13D14C83"/>
    <w:rsid w:val="13D16421"/>
    <w:rsid w:val="13DA623E"/>
    <w:rsid w:val="13DB3D64"/>
    <w:rsid w:val="13DD5D2E"/>
    <w:rsid w:val="13DD679A"/>
    <w:rsid w:val="13E64BE3"/>
    <w:rsid w:val="13EA6B6C"/>
    <w:rsid w:val="13EB217A"/>
    <w:rsid w:val="13EB21F9"/>
    <w:rsid w:val="13EE1CEA"/>
    <w:rsid w:val="13EE40CF"/>
    <w:rsid w:val="13F07D65"/>
    <w:rsid w:val="13F51E61"/>
    <w:rsid w:val="13F76DF0"/>
    <w:rsid w:val="13FA243C"/>
    <w:rsid w:val="13FD69C6"/>
    <w:rsid w:val="14010451"/>
    <w:rsid w:val="14050323"/>
    <w:rsid w:val="14051746"/>
    <w:rsid w:val="140F7DDE"/>
    <w:rsid w:val="14157276"/>
    <w:rsid w:val="141A51C2"/>
    <w:rsid w:val="141A6455"/>
    <w:rsid w:val="141C6857"/>
    <w:rsid w:val="142007B3"/>
    <w:rsid w:val="14200B1E"/>
    <w:rsid w:val="1424395D"/>
    <w:rsid w:val="14255513"/>
    <w:rsid w:val="14261483"/>
    <w:rsid w:val="14276FAA"/>
    <w:rsid w:val="142C45C0"/>
    <w:rsid w:val="142C636E"/>
    <w:rsid w:val="142D7224"/>
    <w:rsid w:val="143F42F3"/>
    <w:rsid w:val="14495172"/>
    <w:rsid w:val="144D3917"/>
    <w:rsid w:val="144D6085"/>
    <w:rsid w:val="14522278"/>
    <w:rsid w:val="14524DA7"/>
    <w:rsid w:val="14553B17"/>
    <w:rsid w:val="145554FF"/>
    <w:rsid w:val="14565758"/>
    <w:rsid w:val="14587163"/>
    <w:rsid w:val="145A4EEB"/>
    <w:rsid w:val="145E1A59"/>
    <w:rsid w:val="14601EA1"/>
    <w:rsid w:val="14636234"/>
    <w:rsid w:val="14641FAC"/>
    <w:rsid w:val="14661880"/>
    <w:rsid w:val="146855F8"/>
    <w:rsid w:val="146D31C2"/>
    <w:rsid w:val="147026FF"/>
    <w:rsid w:val="14773A8D"/>
    <w:rsid w:val="147C72F5"/>
    <w:rsid w:val="147F4A0A"/>
    <w:rsid w:val="148443FC"/>
    <w:rsid w:val="14860885"/>
    <w:rsid w:val="148E25D1"/>
    <w:rsid w:val="148F20D8"/>
    <w:rsid w:val="148F7029"/>
    <w:rsid w:val="1493168C"/>
    <w:rsid w:val="1494187C"/>
    <w:rsid w:val="14975F09"/>
    <w:rsid w:val="149855CC"/>
    <w:rsid w:val="149B0C9B"/>
    <w:rsid w:val="149C1746"/>
    <w:rsid w:val="149E0C82"/>
    <w:rsid w:val="14A16D5C"/>
    <w:rsid w:val="14AB7BDB"/>
    <w:rsid w:val="14AC3002"/>
    <w:rsid w:val="14AD6F2C"/>
    <w:rsid w:val="14AE4770"/>
    <w:rsid w:val="14B051F1"/>
    <w:rsid w:val="14B06F9F"/>
    <w:rsid w:val="14B34FEA"/>
    <w:rsid w:val="14B4674F"/>
    <w:rsid w:val="14B90A0A"/>
    <w:rsid w:val="14BE5F7E"/>
    <w:rsid w:val="14BF71E2"/>
    <w:rsid w:val="14C07BF4"/>
    <w:rsid w:val="14C31A2E"/>
    <w:rsid w:val="14C50C9C"/>
    <w:rsid w:val="14CE2558"/>
    <w:rsid w:val="14D47131"/>
    <w:rsid w:val="14D62EA9"/>
    <w:rsid w:val="14D94748"/>
    <w:rsid w:val="14DC1B42"/>
    <w:rsid w:val="14DD5319"/>
    <w:rsid w:val="14DF0DD8"/>
    <w:rsid w:val="14E1184E"/>
    <w:rsid w:val="14E12DBF"/>
    <w:rsid w:val="14F35954"/>
    <w:rsid w:val="14F3738D"/>
    <w:rsid w:val="14F926F4"/>
    <w:rsid w:val="14FC5467"/>
    <w:rsid w:val="15007F26"/>
    <w:rsid w:val="15023C9F"/>
    <w:rsid w:val="150572EB"/>
    <w:rsid w:val="15082B10"/>
    <w:rsid w:val="15095707"/>
    <w:rsid w:val="150A2B53"/>
    <w:rsid w:val="150B2427"/>
    <w:rsid w:val="150E2B3F"/>
    <w:rsid w:val="151D64FE"/>
    <w:rsid w:val="152051AC"/>
    <w:rsid w:val="15205444"/>
    <w:rsid w:val="15211C4B"/>
    <w:rsid w:val="1523053D"/>
    <w:rsid w:val="15231876"/>
    <w:rsid w:val="1528122B"/>
    <w:rsid w:val="15342C00"/>
    <w:rsid w:val="153D72A5"/>
    <w:rsid w:val="153E0893"/>
    <w:rsid w:val="15400323"/>
    <w:rsid w:val="154020D1"/>
    <w:rsid w:val="15445D2D"/>
    <w:rsid w:val="15453B8B"/>
    <w:rsid w:val="154F428B"/>
    <w:rsid w:val="155C2C83"/>
    <w:rsid w:val="155C4C00"/>
    <w:rsid w:val="155D7127"/>
    <w:rsid w:val="15634011"/>
    <w:rsid w:val="15671D54"/>
    <w:rsid w:val="156D32B8"/>
    <w:rsid w:val="157F643B"/>
    <w:rsid w:val="15827B5B"/>
    <w:rsid w:val="158346B4"/>
    <w:rsid w:val="15842905"/>
    <w:rsid w:val="159B40D7"/>
    <w:rsid w:val="159D39C7"/>
    <w:rsid w:val="15A22D8C"/>
    <w:rsid w:val="15B90F7C"/>
    <w:rsid w:val="15BB0705"/>
    <w:rsid w:val="15BD5E17"/>
    <w:rsid w:val="15C03212"/>
    <w:rsid w:val="15C7486B"/>
    <w:rsid w:val="15C95862"/>
    <w:rsid w:val="15CF16A7"/>
    <w:rsid w:val="15D1541F"/>
    <w:rsid w:val="15D80959"/>
    <w:rsid w:val="15D849FF"/>
    <w:rsid w:val="15D942D4"/>
    <w:rsid w:val="15DB004C"/>
    <w:rsid w:val="15DB6DAD"/>
    <w:rsid w:val="15F1161D"/>
    <w:rsid w:val="15F2556A"/>
    <w:rsid w:val="15F57637"/>
    <w:rsid w:val="15FB249C"/>
    <w:rsid w:val="160170A4"/>
    <w:rsid w:val="160274CF"/>
    <w:rsid w:val="16194A50"/>
    <w:rsid w:val="162024CB"/>
    <w:rsid w:val="162169DD"/>
    <w:rsid w:val="16224E3E"/>
    <w:rsid w:val="1629069B"/>
    <w:rsid w:val="162A3302"/>
    <w:rsid w:val="162B7D74"/>
    <w:rsid w:val="162E5E8B"/>
    <w:rsid w:val="163559AE"/>
    <w:rsid w:val="1635775C"/>
    <w:rsid w:val="163836F0"/>
    <w:rsid w:val="16387F43"/>
    <w:rsid w:val="16392D84"/>
    <w:rsid w:val="163A75B1"/>
    <w:rsid w:val="163B0AEA"/>
    <w:rsid w:val="1642792A"/>
    <w:rsid w:val="16473933"/>
    <w:rsid w:val="164E2387"/>
    <w:rsid w:val="164E4CC1"/>
    <w:rsid w:val="16504596"/>
    <w:rsid w:val="16585B40"/>
    <w:rsid w:val="165B68C2"/>
    <w:rsid w:val="165B7C6D"/>
    <w:rsid w:val="165D2E78"/>
    <w:rsid w:val="165E3157"/>
    <w:rsid w:val="165E4221"/>
    <w:rsid w:val="165F2A2B"/>
    <w:rsid w:val="16646293"/>
    <w:rsid w:val="1665754F"/>
    <w:rsid w:val="16691AFB"/>
    <w:rsid w:val="1674297A"/>
    <w:rsid w:val="16747190"/>
    <w:rsid w:val="16775FC6"/>
    <w:rsid w:val="16780AA2"/>
    <w:rsid w:val="167A09B1"/>
    <w:rsid w:val="168D68A7"/>
    <w:rsid w:val="16900E36"/>
    <w:rsid w:val="16910259"/>
    <w:rsid w:val="16946151"/>
    <w:rsid w:val="1695644C"/>
    <w:rsid w:val="169721C5"/>
    <w:rsid w:val="16A1699A"/>
    <w:rsid w:val="16A20E13"/>
    <w:rsid w:val="16A6065A"/>
    <w:rsid w:val="16A62408"/>
    <w:rsid w:val="16AE5760"/>
    <w:rsid w:val="16B42E55"/>
    <w:rsid w:val="16B5089D"/>
    <w:rsid w:val="16B8213B"/>
    <w:rsid w:val="16BC7E7D"/>
    <w:rsid w:val="16BD6E16"/>
    <w:rsid w:val="16C84A74"/>
    <w:rsid w:val="16C94EB4"/>
    <w:rsid w:val="16CC4EEF"/>
    <w:rsid w:val="16D207F9"/>
    <w:rsid w:val="16D3425A"/>
    <w:rsid w:val="16DE1BA1"/>
    <w:rsid w:val="16DE6045"/>
    <w:rsid w:val="16E26B8C"/>
    <w:rsid w:val="16E41182"/>
    <w:rsid w:val="16E564FB"/>
    <w:rsid w:val="16EA18E3"/>
    <w:rsid w:val="16EA49EA"/>
    <w:rsid w:val="16EC6DD8"/>
    <w:rsid w:val="16ED5B1C"/>
    <w:rsid w:val="16ED7FD0"/>
    <w:rsid w:val="16FA2753"/>
    <w:rsid w:val="16FA7A64"/>
    <w:rsid w:val="17013AE2"/>
    <w:rsid w:val="17060535"/>
    <w:rsid w:val="17066D5F"/>
    <w:rsid w:val="17101F77"/>
    <w:rsid w:val="1711702D"/>
    <w:rsid w:val="171412BA"/>
    <w:rsid w:val="171657DF"/>
    <w:rsid w:val="17172746"/>
    <w:rsid w:val="17173305"/>
    <w:rsid w:val="171B2DF6"/>
    <w:rsid w:val="171F284E"/>
    <w:rsid w:val="17201B5C"/>
    <w:rsid w:val="172123D6"/>
    <w:rsid w:val="172270CD"/>
    <w:rsid w:val="172275C9"/>
    <w:rsid w:val="17250D3D"/>
    <w:rsid w:val="17285513"/>
    <w:rsid w:val="17395BDF"/>
    <w:rsid w:val="173C2D6C"/>
    <w:rsid w:val="173E6D8F"/>
    <w:rsid w:val="174165D4"/>
    <w:rsid w:val="17435CD5"/>
    <w:rsid w:val="174A76E2"/>
    <w:rsid w:val="17530FAE"/>
    <w:rsid w:val="17562080"/>
    <w:rsid w:val="176B638B"/>
    <w:rsid w:val="176D73C9"/>
    <w:rsid w:val="17703BA3"/>
    <w:rsid w:val="17710C68"/>
    <w:rsid w:val="17773DA4"/>
    <w:rsid w:val="17797B1C"/>
    <w:rsid w:val="177C760C"/>
    <w:rsid w:val="17824918"/>
    <w:rsid w:val="178647DA"/>
    <w:rsid w:val="17865225"/>
    <w:rsid w:val="178F3CED"/>
    <w:rsid w:val="17914E66"/>
    <w:rsid w:val="17936E30"/>
    <w:rsid w:val="179761F4"/>
    <w:rsid w:val="17A25886"/>
    <w:rsid w:val="17A70B2D"/>
    <w:rsid w:val="17A80401"/>
    <w:rsid w:val="17A821AF"/>
    <w:rsid w:val="17B1480B"/>
    <w:rsid w:val="17B85DB4"/>
    <w:rsid w:val="17B9616B"/>
    <w:rsid w:val="17BF5E77"/>
    <w:rsid w:val="17C5132F"/>
    <w:rsid w:val="17CB69B3"/>
    <w:rsid w:val="17CB7312"/>
    <w:rsid w:val="17CD1C16"/>
    <w:rsid w:val="17D052D5"/>
    <w:rsid w:val="17D631C0"/>
    <w:rsid w:val="17D66D1D"/>
    <w:rsid w:val="17DB43D6"/>
    <w:rsid w:val="17E01B36"/>
    <w:rsid w:val="17E51758"/>
    <w:rsid w:val="17E94326"/>
    <w:rsid w:val="17EA36F7"/>
    <w:rsid w:val="17EC1498"/>
    <w:rsid w:val="17EF6030"/>
    <w:rsid w:val="17F11DA8"/>
    <w:rsid w:val="17F17FFA"/>
    <w:rsid w:val="17F55D8B"/>
    <w:rsid w:val="17FC104E"/>
    <w:rsid w:val="17FD699F"/>
    <w:rsid w:val="1800023D"/>
    <w:rsid w:val="180513B0"/>
    <w:rsid w:val="18065D93"/>
    <w:rsid w:val="18117D55"/>
    <w:rsid w:val="18185587"/>
    <w:rsid w:val="181A12FF"/>
    <w:rsid w:val="181B0758"/>
    <w:rsid w:val="181E7C2A"/>
    <w:rsid w:val="1824056B"/>
    <w:rsid w:val="182726B0"/>
    <w:rsid w:val="18297794"/>
    <w:rsid w:val="182B460B"/>
    <w:rsid w:val="182D3B6B"/>
    <w:rsid w:val="182E024C"/>
    <w:rsid w:val="182E4DAB"/>
    <w:rsid w:val="18335F1D"/>
    <w:rsid w:val="18354A89"/>
    <w:rsid w:val="18381785"/>
    <w:rsid w:val="18410AA7"/>
    <w:rsid w:val="18410FF6"/>
    <w:rsid w:val="184245BC"/>
    <w:rsid w:val="184677A9"/>
    <w:rsid w:val="18491BE4"/>
    <w:rsid w:val="184F3BF8"/>
    <w:rsid w:val="18506ACF"/>
    <w:rsid w:val="18574301"/>
    <w:rsid w:val="18583DB0"/>
    <w:rsid w:val="185A794E"/>
    <w:rsid w:val="185E327B"/>
    <w:rsid w:val="186409C1"/>
    <w:rsid w:val="18697B91"/>
    <w:rsid w:val="186B3909"/>
    <w:rsid w:val="18700F1F"/>
    <w:rsid w:val="18720C72"/>
    <w:rsid w:val="18756535"/>
    <w:rsid w:val="187C2B7B"/>
    <w:rsid w:val="18846779"/>
    <w:rsid w:val="18893D8F"/>
    <w:rsid w:val="188B5D59"/>
    <w:rsid w:val="188D3BEE"/>
    <w:rsid w:val="1890336F"/>
    <w:rsid w:val="189270E7"/>
    <w:rsid w:val="18936696"/>
    <w:rsid w:val="18952734"/>
    <w:rsid w:val="189A6D71"/>
    <w:rsid w:val="189B3125"/>
    <w:rsid w:val="189C7F66"/>
    <w:rsid w:val="189D62C0"/>
    <w:rsid w:val="18A92683"/>
    <w:rsid w:val="18B03A11"/>
    <w:rsid w:val="18B479D9"/>
    <w:rsid w:val="18BA663E"/>
    <w:rsid w:val="18BE612E"/>
    <w:rsid w:val="18C123A4"/>
    <w:rsid w:val="18D6176C"/>
    <w:rsid w:val="18D93258"/>
    <w:rsid w:val="18DC4EA1"/>
    <w:rsid w:val="18DF28F0"/>
    <w:rsid w:val="18ED431E"/>
    <w:rsid w:val="18EE0096"/>
    <w:rsid w:val="18F073BA"/>
    <w:rsid w:val="19002F96"/>
    <w:rsid w:val="1901426D"/>
    <w:rsid w:val="19047D7C"/>
    <w:rsid w:val="19062115"/>
    <w:rsid w:val="19067B7F"/>
    <w:rsid w:val="190D676E"/>
    <w:rsid w:val="19120628"/>
    <w:rsid w:val="1918412F"/>
    <w:rsid w:val="19267830"/>
    <w:rsid w:val="192B6C8D"/>
    <w:rsid w:val="192F4936"/>
    <w:rsid w:val="19314B52"/>
    <w:rsid w:val="193207AF"/>
    <w:rsid w:val="19324427"/>
    <w:rsid w:val="19393A07"/>
    <w:rsid w:val="193C56B5"/>
    <w:rsid w:val="193D2AEA"/>
    <w:rsid w:val="193D4916"/>
    <w:rsid w:val="19410B0E"/>
    <w:rsid w:val="194E008A"/>
    <w:rsid w:val="194E7D93"/>
    <w:rsid w:val="196F567B"/>
    <w:rsid w:val="19720EDA"/>
    <w:rsid w:val="197C1B46"/>
    <w:rsid w:val="1986128D"/>
    <w:rsid w:val="198A4263"/>
    <w:rsid w:val="198F7ACB"/>
    <w:rsid w:val="199155F1"/>
    <w:rsid w:val="199B4CA2"/>
    <w:rsid w:val="19A4339C"/>
    <w:rsid w:val="19A475B6"/>
    <w:rsid w:val="19A90B8D"/>
    <w:rsid w:val="19A928E0"/>
    <w:rsid w:val="19AD7F51"/>
    <w:rsid w:val="19B343F7"/>
    <w:rsid w:val="19B66E06"/>
    <w:rsid w:val="19B906A4"/>
    <w:rsid w:val="19BE707F"/>
    <w:rsid w:val="19BF6A16"/>
    <w:rsid w:val="19CC4E70"/>
    <w:rsid w:val="19CD79E4"/>
    <w:rsid w:val="19CF7EC7"/>
    <w:rsid w:val="19D12A0A"/>
    <w:rsid w:val="19D13C3F"/>
    <w:rsid w:val="19D674A8"/>
    <w:rsid w:val="19DD2D01"/>
    <w:rsid w:val="19DD789A"/>
    <w:rsid w:val="19E82D37"/>
    <w:rsid w:val="19EB2CBC"/>
    <w:rsid w:val="19EC3D07"/>
    <w:rsid w:val="19EE61B3"/>
    <w:rsid w:val="1A02029D"/>
    <w:rsid w:val="1A055847"/>
    <w:rsid w:val="1A147FD0"/>
    <w:rsid w:val="1A18305C"/>
    <w:rsid w:val="1A1C4608"/>
    <w:rsid w:val="1A1D1FD5"/>
    <w:rsid w:val="1A1D457D"/>
    <w:rsid w:val="1A200F32"/>
    <w:rsid w:val="1A204BC7"/>
    <w:rsid w:val="1A26633B"/>
    <w:rsid w:val="1A276593"/>
    <w:rsid w:val="1A2828C7"/>
    <w:rsid w:val="1A295829"/>
    <w:rsid w:val="1A2977E4"/>
    <w:rsid w:val="1A304E0A"/>
    <w:rsid w:val="1A361CF4"/>
    <w:rsid w:val="1A3760B4"/>
    <w:rsid w:val="1A381F10"/>
    <w:rsid w:val="1A3D12D5"/>
    <w:rsid w:val="1A3D5BC0"/>
    <w:rsid w:val="1A4131B9"/>
    <w:rsid w:val="1A4408B5"/>
    <w:rsid w:val="1A442663"/>
    <w:rsid w:val="1A4426FE"/>
    <w:rsid w:val="1A4A3252"/>
    <w:rsid w:val="1A4B427F"/>
    <w:rsid w:val="1A4E5290"/>
    <w:rsid w:val="1A514D80"/>
    <w:rsid w:val="1A516B2E"/>
    <w:rsid w:val="1A530AF8"/>
    <w:rsid w:val="1A5709BF"/>
    <w:rsid w:val="1A576364"/>
    <w:rsid w:val="1A58610F"/>
    <w:rsid w:val="1A5A6886"/>
    <w:rsid w:val="1A5B544C"/>
    <w:rsid w:val="1A626F8D"/>
    <w:rsid w:val="1A66082C"/>
    <w:rsid w:val="1A696D54"/>
    <w:rsid w:val="1A6A7BF0"/>
    <w:rsid w:val="1A704CA7"/>
    <w:rsid w:val="1A713419"/>
    <w:rsid w:val="1A732F49"/>
    <w:rsid w:val="1A7759B0"/>
    <w:rsid w:val="1A7A6085"/>
    <w:rsid w:val="1A804227"/>
    <w:rsid w:val="1A844AB3"/>
    <w:rsid w:val="1A8962C8"/>
    <w:rsid w:val="1A941289"/>
    <w:rsid w:val="1A9D7FC6"/>
    <w:rsid w:val="1AA4331E"/>
    <w:rsid w:val="1AA5252F"/>
    <w:rsid w:val="1AA64082"/>
    <w:rsid w:val="1AA72BF2"/>
    <w:rsid w:val="1AA9696A"/>
    <w:rsid w:val="1AB12673"/>
    <w:rsid w:val="1AB53C6E"/>
    <w:rsid w:val="1AC9700C"/>
    <w:rsid w:val="1ACB0A31"/>
    <w:rsid w:val="1AD05CA5"/>
    <w:rsid w:val="1AD23C1D"/>
    <w:rsid w:val="1AD27C6F"/>
    <w:rsid w:val="1AD43235"/>
    <w:rsid w:val="1ADA2FC8"/>
    <w:rsid w:val="1ADD56F1"/>
    <w:rsid w:val="1AE14356"/>
    <w:rsid w:val="1AE6600E"/>
    <w:rsid w:val="1AEC6857"/>
    <w:rsid w:val="1AF403D1"/>
    <w:rsid w:val="1AF52388"/>
    <w:rsid w:val="1AFE6CB6"/>
    <w:rsid w:val="1B005858"/>
    <w:rsid w:val="1B010554"/>
    <w:rsid w:val="1B074E0A"/>
    <w:rsid w:val="1B1706D8"/>
    <w:rsid w:val="1B177D78"/>
    <w:rsid w:val="1B1A1616"/>
    <w:rsid w:val="1B1C713C"/>
    <w:rsid w:val="1B2D1349"/>
    <w:rsid w:val="1B2F2A99"/>
    <w:rsid w:val="1B3B25B3"/>
    <w:rsid w:val="1B410ECC"/>
    <w:rsid w:val="1B452921"/>
    <w:rsid w:val="1B487F31"/>
    <w:rsid w:val="1B4E0827"/>
    <w:rsid w:val="1B5468D6"/>
    <w:rsid w:val="1B570174"/>
    <w:rsid w:val="1B5A5081"/>
    <w:rsid w:val="1B650AE3"/>
    <w:rsid w:val="1B661CF3"/>
    <w:rsid w:val="1B697EA8"/>
    <w:rsid w:val="1B6A3FD3"/>
    <w:rsid w:val="1B6D5BEA"/>
    <w:rsid w:val="1B6F60A0"/>
    <w:rsid w:val="1B7169FE"/>
    <w:rsid w:val="1B7A4947"/>
    <w:rsid w:val="1B7C65B2"/>
    <w:rsid w:val="1B836421"/>
    <w:rsid w:val="1B85330A"/>
    <w:rsid w:val="1B890BF6"/>
    <w:rsid w:val="1B895D18"/>
    <w:rsid w:val="1B8A054A"/>
    <w:rsid w:val="1B8B1ED3"/>
    <w:rsid w:val="1B8B42C2"/>
    <w:rsid w:val="1B8F3724"/>
    <w:rsid w:val="1B9006C4"/>
    <w:rsid w:val="1B903686"/>
    <w:rsid w:val="1B903890"/>
    <w:rsid w:val="1B9238A2"/>
    <w:rsid w:val="1B925650"/>
    <w:rsid w:val="1B943177"/>
    <w:rsid w:val="1B9969DF"/>
    <w:rsid w:val="1BA12677"/>
    <w:rsid w:val="1BA17641"/>
    <w:rsid w:val="1BA23BA8"/>
    <w:rsid w:val="1BA84E74"/>
    <w:rsid w:val="1BA86DB6"/>
    <w:rsid w:val="1BAB735E"/>
    <w:rsid w:val="1BAF1D5E"/>
    <w:rsid w:val="1BB03B3E"/>
    <w:rsid w:val="1BB62BF7"/>
    <w:rsid w:val="1BB7478A"/>
    <w:rsid w:val="1BB90E2F"/>
    <w:rsid w:val="1BBD79DD"/>
    <w:rsid w:val="1BCA2543"/>
    <w:rsid w:val="1BCA4DEA"/>
    <w:rsid w:val="1BD23C9F"/>
    <w:rsid w:val="1BDC5299"/>
    <w:rsid w:val="1BE14FF1"/>
    <w:rsid w:val="1BE22134"/>
    <w:rsid w:val="1BE35EAC"/>
    <w:rsid w:val="1BE830E6"/>
    <w:rsid w:val="1BE85270"/>
    <w:rsid w:val="1BE870EB"/>
    <w:rsid w:val="1BED0AD9"/>
    <w:rsid w:val="1BED228D"/>
    <w:rsid w:val="1BED5C59"/>
    <w:rsid w:val="1BEE53DF"/>
    <w:rsid w:val="1BF448A7"/>
    <w:rsid w:val="1BFB5351"/>
    <w:rsid w:val="1BFE4A94"/>
    <w:rsid w:val="1C024584"/>
    <w:rsid w:val="1C063664"/>
    <w:rsid w:val="1C067172"/>
    <w:rsid w:val="1C0C71B1"/>
    <w:rsid w:val="1C153514"/>
    <w:rsid w:val="1C163B8C"/>
    <w:rsid w:val="1C1918CE"/>
    <w:rsid w:val="1C19367C"/>
    <w:rsid w:val="1C204A0A"/>
    <w:rsid w:val="1C2648B8"/>
    <w:rsid w:val="1C2705CD"/>
    <w:rsid w:val="1C273FEB"/>
    <w:rsid w:val="1C2951BC"/>
    <w:rsid w:val="1C297188"/>
    <w:rsid w:val="1C297D63"/>
    <w:rsid w:val="1C2E35CB"/>
    <w:rsid w:val="1C3807B7"/>
    <w:rsid w:val="1C3C20D1"/>
    <w:rsid w:val="1C3D1693"/>
    <w:rsid w:val="1C3D269C"/>
    <w:rsid w:val="1C471EA8"/>
    <w:rsid w:val="1C47643B"/>
    <w:rsid w:val="1C533F08"/>
    <w:rsid w:val="1C53553A"/>
    <w:rsid w:val="1C572DEA"/>
    <w:rsid w:val="1C5823F6"/>
    <w:rsid w:val="1C5C23DC"/>
    <w:rsid w:val="1C5E4627"/>
    <w:rsid w:val="1C603E6A"/>
    <w:rsid w:val="1C60574F"/>
    <w:rsid w:val="1C6963B1"/>
    <w:rsid w:val="1C6C2EAA"/>
    <w:rsid w:val="1C6E1C1A"/>
    <w:rsid w:val="1C6E7E6B"/>
    <w:rsid w:val="1C735482"/>
    <w:rsid w:val="1C7E60A7"/>
    <w:rsid w:val="1C7F6F7F"/>
    <w:rsid w:val="1C817340"/>
    <w:rsid w:val="1C855C3D"/>
    <w:rsid w:val="1C856F63"/>
    <w:rsid w:val="1C874A89"/>
    <w:rsid w:val="1C8901D0"/>
    <w:rsid w:val="1C8A726D"/>
    <w:rsid w:val="1C8C02F2"/>
    <w:rsid w:val="1C9635A4"/>
    <w:rsid w:val="1C981DB6"/>
    <w:rsid w:val="1C9E44EF"/>
    <w:rsid w:val="1CA54212"/>
    <w:rsid w:val="1CA56CCD"/>
    <w:rsid w:val="1CAF3648"/>
    <w:rsid w:val="1CB03E21"/>
    <w:rsid w:val="1CB303A9"/>
    <w:rsid w:val="1CB33AD0"/>
    <w:rsid w:val="1CB3587E"/>
    <w:rsid w:val="1CB47446"/>
    <w:rsid w:val="1CB735C0"/>
    <w:rsid w:val="1CBD02B5"/>
    <w:rsid w:val="1CC21F65"/>
    <w:rsid w:val="1CC655B2"/>
    <w:rsid w:val="1CC932F4"/>
    <w:rsid w:val="1CCA75B5"/>
    <w:rsid w:val="1CCD01AF"/>
    <w:rsid w:val="1CD06430"/>
    <w:rsid w:val="1CD477DC"/>
    <w:rsid w:val="1CDA105D"/>
    <w:rsid w:val="1CDD7F7C"/>
    <w:rsid w:val="1CED6FE2"/>
    <w:rsid w:val="1CEF7D82"/>
    <w:rsid w:val="1CFC5521"/>
    <w:rsid w:val="1CFD28CA"/>
    <w:rsid w:val="1CFD4C58"/>
    <w:rsid w:val="1CFF072B"/>
    <w:rsid w:val="1D003690"/>
    <w:rsid w:val="1D0174CE"/>
    <w:rsid w:val="1D022362"/>
    <w:rsid w:val="1D024231"/>
    <w:rsid w:val="1D0329AC"/>
    <w:rsid w:val="1D070878"/>
    <w:rsid w:val="1D0B5E54"/>
    <w:rsid w:val="1D0E51AB"/>
    <w:rsid w:val="1D0F6356"/>
    <w:rsid w:val="1D102CD1"/>
    <w:rsid w:val="1D16696B"/>
    <w:rsid w:val="1D183933"/>
    <w:rsid w:val="1D19182A"/>
    <w:rsid w:val="1D1E2AC4"/>
    <w:rsid w:val="1D214EDE"/>
    <w:rsid w:val="1D2B7B0B"/>
    <w:rsid w:val="1D2D3883"/>
    <w:rsid w:val="1D316D67"/>
    <w:rsid w:val="1D320E99"/>
    <w:rsid w:val="1D3369BF"/>
    <w:rsid w:val="1D3544E5"/>
    <w:rsid w:val="1D37025D"/>
    <w:rsid w:val="1D380D1E"/>
    <w:rsid w:val="1D383FD6"/>
    <w:rsid w:val="1D392227"/>
    <w:rsid w:val="1D3A7D4E"/>
    <w:rsid w:val="1D3C3AC6"/>
    <w:rsid w:val="1D3F33AA"/>
    <w:rsid w:val="1D463EE7"/>
    <w:rsid w:val="1D484219"/>
    <w:rsid w:val="1D532BBD"/>
    <w:rsid w:val="1D641885"/>
    <w:rsid w:val="1D646335"/>
    <w:rsid w:val="1D655CE4"/>
    <w:rsid w:val="1D657351"/>
    <w:rsid w:val="1D7019C1"/>
    <w:rsid w:val="1D7414B2"/>
    <w:rsid w:val="1D76522A"/>
    <w:rsid w:val="1D78448F"/>
    <w:rsid w:val="1D807CC2"/>
    <w:rsid w:val="1D81336E"/>
    <w:rsid w:val="1D854F34"/>
    <w:rsid w:val="1D871F5A"/>
    <w:rsid w:val="1D8B05A9"/>
    <w:rsid w:val="1D8B64FF"/>
    <w:rsid w:val="1D9349FA"/>
    <w:rsid w:val="1D94745E"/>
    <w:rsid w:val="1D981F7C"/>
    <w:rsid w:val="1D990F18"/>
    <w:rsid w:val="1D9C1B01"/>
    <w:rsid w:val="1D9C4564"/>
    <w:rsid w:val="1D9E02DC"/>
    <w:rsid w:val="1D9F2045"/>
    <w:rsid w:val="1DA07A54"/>
    <w:rsid w:val="1DA11B7B"/>
    <w:rsid w:val="1DA17DCD"/>
    <w:rsid w:val="1DA219F1"/>
    <w:rsid w:val="1DA63635"/>
    <w:rsid w:val="1DAB0632"/>
    <w:rsid w:val="1DAD0520"/>
    <w:rsid w:val="1DB16262"/>
    <w:rsid w:val="1DBE272D"/>
    <w:rsid w:val="1DC15238"/>
    <w:rsid w:val="1DC3058B"/>
    <w:rsid w:val="1DC7214A"/>
    <w:rsid w:val="1DCB0F4B"/>
    <w:rsid w:val="1DD11024"/>
    <w:rsid w:val="1DD737EE"/>
    <w:rsid w:val="1DD87C2F"/>
    <w:rsid w:val="1DDF645E"/>
    <w:rsid w:val="1DE026A3"/>
    <w:rsid w:val="1DE05BB7"/>
    <w:rsid w:val="1DE06B47"/>
    <w:rsid w:val="1DE135A7"/>
    <w:rsid w:val="1DE1641B"/>
    <w:rsid w:val="1DE303E5"/>
    <w:rsid w:val="1DE76E33"/>
    <w:rsid w:val="1DEC54EC"/>
    <w:rsid w:val="1E01086B"/>
    <w:rsid w:val="1E0B6D4A"/>
    <w:rsid w:val="1E122A78"/>
    <w:rsid w:val="1E1838E7"/>
    <w:rsid w:val="1E234C86"/>
    <w:rsid w:val="1E2652E1"/>
    <w:rsid w:val="1E307E0E"/>
    <w:rsid w:val="1E37603B"/>
    <w:rsid w:val="1E3D5D47"/>
    <w:rsid w:val="1E4169D7"/>
    <w:rsid w:val="1E426EBA"/>
    <w:rsid w:val="1E4470D6"/>
    <w:rsid w:val="1E453C44"/>
    <w:rsid w:val="1E477B45"/>
    <w:rsid w:val="1E48292B"/>
    <w:rsid w:val="1E497E19"/>
    <w:rsid w:val="1E4A0464"/>
    <w:rsid w:val="1E4C7D38"/>
    <w:rsid w:val="1E4E0241"/>
    <w:rsid w:val="1E524B79"/>
    <w:rsid w:val="1E58492F"/>
    <w:rsid w:val="1E5B11C2"/>
    <w:rsid w:val="1E5B44EA"/>
    <w:rsid w:val="1E6032C2"/>
    <w:rsid w:val="1E6A152A"/>
    <w:rsid w:val="1E6E4153"/>
    <w:rsid w:val="1E725F5E"/>
    <w:rsid w:val="1E793441"/>
    <w:rsid w:val="1E7A2AF8"/>
    <w:rsid w:val="1E7D30DE"/>
    <w:rsid w:val="1E82375A"/>
    <w:rsid w:val="1E861550"/>
    <w:rsid w:val="1E8E3A67"/>
    <w:rsid w:val="1E935FB5"/>
    <w:rsid w:val="1E9374F5"/>
    <w:rsid w:val="1E967206"/>
    <w:rsid w:val="1E992270"/>
    <w:rsid w:val="1E9A4F48"/>
    <w:rsid w:val="1EA32E44"/>
    <w:rsid w:val="1EA5569B"/>
    <w:rsid w:val="1EA57449"/>
    <w:rsid w:val="1EA94CB5"/>
    <w:rsid w:val="1EB018DF"/>
    <w:rsid w:val="1EB63EED"/>
    <w:rsid w:val="1EBB6C6C"/>
    <w:rsid w:val="1EBC3E9B"/>
    <w:rsid w:val="1EC10726"/>
    <w:rsid w:val="1EC57AEB"/>
    <w:rsid w:val="1EC94B2C"/>
    <w:rsid w:val="1ECE4BF1"/>
    <w:rsid w:val="1ECF44B3"/>
    <w:rsid w:val="1ECF7290"/>
    <w:rsid w:val="1ED16490"/>
    <w:rsid w:val="1ED57469"/>
    <w:rsid w:val="1ED63AA6"/>
    <w:rsid w:val="1EE10FE8"/>
    <w:rsid w:val="1EE4502F"/>
    <w:rsid w:val="1EE73F05"/>
    <w:rsid w:val="1EF74148"/>
    <w:rsid w:val="1EFA4D2A"/>
    <w:rsid w:val="1F003FC7"/>
    <w:rsid w:val="1F010B23"/>
    <w:rsid w:val="1F013AF7"/>
    <w:rsid w:val="1F0540C6"/>
    <w:rsid w:val="1F06438B"/>
    <w:rsid w:val="1F0E3240"/>
    <w:rsid w:val="1F10520A"/>
    <w:rsid w:val="1F120986"/>
    <w:rsid w:val="1F132604"/>
    <w:rsid w:val="1F134CFA"/>
    <w:rsid w:val="1F196957"/>
    <w:rsid w:val="1F1A7E37"/>
    <w:rsid w:val="1F1D6D27"/>
    <w:rsid w:val="1F1E07B5"/>
    <w:rsid w:val="1F2111C5"/>
    <w:rsid w:val="1F220A99"/>
    <w:rsid w:val="1F253597"/>
    <w:rsid w:val="1F2C6A0C"/>
    <w:rsid w:val="1F2E002C"/>
    <w:rsid w:val="1F2E38E2"/>
    <w:rsid w:val="1F38650F"/>
    <w:rsid w:val="1F3A2287"/>
    <w:rsid w:val="1F3B03AF"/>
    <w:rsid w:val="1F3C5338"/>
    <w:rsid w:val="1F3F164B"/>
    <w:rsid w:val="1F43738D"/>
    <w:rsid w:val="1F4A470D"/>
    <w:rsid w:val="1F5844BB"/>
    <w:rsid w:val="1F5E41C7"/>
    <w:rsid w:val="1F621A02"/>
    <w:rsid w:val="1F66307C"/>
    <w:rsid w:val="1F69491A"/>
    <w:rsid w:val="1F71405F"/>
    <w:rsid w:val="1F7A08D5"/>
    <w:rsid w:val="1F7C63FB"/>
    <w:rsid w:val="1F813A12"/>
    <w:rsid w:val="1F84524A"/>
    <w:rsid w:val="1F88718C"/>
    <w:rsid w:val="1F8E0E3C"/>
    <w:rsid w:val="1F8F25D3"/>
    <w:rsid w:val="1F902EEB"/>
    <w:rsid w:val="1F903C55"/>
    <w:rsid w:val="1F90634B"/>
    <w:rsid w:val="1F9255A6"/>
    <w:rsid w:val="1F925C1F"/>
    <w:rsid w:val="1F940121"/>
    <w:rsid w:val="1F9C47A5"/>
    <w:rsid w:val="1F9D62AF"/>
    <w:rsid w:val="1F9F3BF5"/>
    <w:rsid w:val="1FA15148"/>
    <w:rsid w:val="1FA53BA4"/>
    <w:rsid w:val="1FA871F0"/>
    <w:rsid w:val="1FA92630"/>
    <w:rsid w:val="1FB02549"/>
    <w:rsid w:val="1FB84D14"/>
    <w:rsid w:val="1FBC4362"/>
    <w:rsid w:val="1FBF453A"/>
    <w:rsid w:val="1FC3227C"/>
    <w:rsid w:val="1FD55D41"/>
    <w:rsid w:val="1FD91154"/>
    <w:rsid w:val="1FD91AA0"/>
    <w:rsid w:val="1FDB5818"/>
    <w:rsid w:val="1FDC614A"/>
    <w:rsid w:val="1FDE7370"/>
    <w:rsid w:val="1FE43AF4"/>
    <w:rsid w:val="1FE67D19"/>
    <w:rsid w:val="1FE81CE3"/>
    <w:rsid w:val="1FE9146A"/>
    <w:rsid w:val="1FEB3581"/>
    <w:rsid w:val="1FF561AE"/>
    <w:rsid w:val="1FF71F26"/>
    <w:rsid w:val="1FF95C9E"/>
    <w:rsid w:val="1FFC753C"/>
    <w:rsid w:val="1FFF6285"/>
    <w:rsid w:val="20054643"/>
    <w:rsid w:val="20066D32"/>
    <w:rsid w:val="200F54C2"/>
    <w:rsid w:val="201721F5"/>
    <w:rsid w:val="20174376"/>
    <w:rsid w:val="201900EE"/>
    <w:rsid w:val="2019384E"/>
    <w:rsid w:val="201E74B3"/>
    <w:rsid w:val="202240AD"/>
    <w:rsid w:val="20232D1B"/>
    <w:rsid w:val="2023740E"/>
    <w:rsid w:val="202A3339"/>
    <w:rsid w:val="202A4ECD"/>
    <w:rsid w:val="202B5191"/>
    <w:rsid w:val="202C7C45"/>
    <w:rsid w:val="20322F5E"/>
    <w:rsid w:val="20380085"/>
    <w:rsid w:val="2039253E"/>
    <w:rsid w:val="203B74FB"/>
    <w:rsid w:val="203E1903"/>
    <w:rsid w:val="20427645"/>
    <w:rsid w:val="204504EC"/>
    <w:rsid w:val="204A5E79"/>
    <w:rsid w:val="204B04B6"/>
    <w:rsid w:val="204F1884"/>
    <w:rsid w:val="205A0B3A"/>
    <w:rsid w:val="205E2FAF"/>
    <w:rsid w:val="206375BB"/>
    <w:rsid w:val="20711CD8"/>
    <w:rsid w:val="20753E5A"/>
    <w:rsid w:val="207672EF"/>
    <w:rsid w:val="207B2B57"/>
    <w:rsid w:val="207D5D78"/>
    <w:rsid w:val="20882E84"/>
    <w:rsid w:val="208E25B3"/>
    <w:rsid w:val="20931445"/>
    <w:rsid w:val="2094044E"/>
    <w:rsid w:val="20940783"/>
    <w:rsid w:val="20951757"/>
    <w:rsid w:val="2096173F"/>
    <w:rsid w:val="209A6652"/>
    <w:rsid w:val="20A57BD4"/>
    <w:rsid w:val="20AA407A"/>
    <w:rsid w:val="20AE6127"/>
    <w:rsid w:val="20BA7F53"/>
    <w:rsid w:val="20BC4D66"/>
    <w:rsid w:val="20BD4F1E"/>
    <w:rsid w:val="20BD7CCA"/>
    <w:rsid w:val="20C067BC"/>
    <w:rsid w:val="20C4005A"/>
    <w:rsid w:val="20C75D9C"/>
    <w:rsid w:val="20C77B4A"/>
    <w:rsid w:val="20CA3197"/>
    <w:rsid w:val="20CE7357"/>
    <w:rsid w:val="20D02EA3"/>
    <w:rsid w:val="20D17CEA"/>
    <w:rsid w:val="20D81C1C"/>
    <w:rsid w:val="20DA5ACF"/>
    <w:rsid w:val="20DA787E"/>
    <w:rsid w:val="20DB53A4"/>
    <w:rsid w:val="20E00C0C"/>
    <w:rsid w:val="20E37CF5"/>
    <w:rsid w:val="20E77465"/>
    <w:rsid w:val="20EA3839"/>
    <w:rsid w:val="20FA1CCE"/>
    <w:rsid w:val="21090163"/>
    <w:rsid w:val="210F3C24"/>
    <w:rsid w:val="210F504D"/>
    <w:rsid w:val="21130FE1"/>
    <w:rsid w:val="21154D5A"/>
    <w:rsid w:val="211A0A40"/>
    <w:rsid w:val="211A411E"/>
    <w:rsid w:val="211B39F2"/>
    <w:rsid w:val="21253360"/>
    <w:rsid w:val="2127683B"/>
    <w:rsid w:val="21287CFF"/>
    <w:rsid w:val="21344E22"/>
    <w:rsid w:val="21350F58"/>
    <w:rsid w:val="213C22E6"/>
    <w:rsid w:val="21425423"/>
    <w:rsid w:val="2147222E"/>
    <w:rsid w:val="214B166A"/>
    <w:rsid w:val="214C62A1"/>
    <w:rsid w:val="214E3D44"/>
    <w:rsid w:val="2152395C"/>
    <w:rsid w:val="215533A8"/>
    <w:rsid w:val="215869F4"/>
    <w:rsid w:val="215C4736"/>
    <w:rsid w:val="2160382D"/>
    <w:rsid w:val="21627873"/>
    <w:rsid w:val="21640321"/>
    <w:rsid w:val="21682094"/>
    <w:rsid w:val="217355DC"/>
    <w:rsid w:val="21751354"/>
    <w:rsid w:val="21771570"/>
    <w:rsid w:val="217E5265"/>
    <w:rsid w:val="21837F15"/>
    <w:rsid w:val="21843C8D"/>
    <w:rsid w:val="21861C6A"/>
    <w:rsid w:val="218D2B42"/>
    <w:rsid w:val="218D35C1"/>
    <w:rsid w:val="218D79A3"/>
    <w:rsid w:val="219476E6"/>
    <w:rsid w:val="21965B5E"/>
    <w:rsid w:val="219739C1"/>
    <w:rsid w:val="219A5ED6"/>
    <w:rsid w:val="21A1039B"/>
    <w:rsid w:val="21A413CE"/>
    <w:rsid w:val="21A734D8"/>
    <w:rsid w:val="21AD5069"/>
    <w:rsid w:val="21AE3479"/>
    <w:rsid w:val="21B9008F"/>
    <w:rsid w:val="21BF4CC5"/>
    <w:rsid w:val="21C5052E"/>
    <w:rsid w:val="21C916A0"/>
    <w:rsid w:val="21C978F2"/>
    <w:rsid w:val="21CB18BC"/>
    <w:rsid w:val="21CB5418"/>
    <w:rsid w:val="21D20555"/>
    <w:rsid w:val="21D43408"/>
    <w:rsid w:val="21D43BB2"/>
    <w:rsid w:val="21E97D8A"/>
    <w:rsid w:val="21EE401A"/>
    <w:rsid w:val="21F203EE"/>
    <w:rsid w:val="21F623D1"/>
    <w:rsid w:val="21FC2107"/>
    <w:rsid w:val="21FE134A"/>
    <w:rsid w:val="22002B47"/>
    <w:rsid w:val="22070B60"/>
    <w:rsid w:val="2208147E"/>
    <w:rsid w:val="220A3AE6"/>
    <w:rsid w:val="22124B83"/>
    <w:rsid w:val="22154A83"/>
    <w:rsid w:val="221A2149"/>
    <w:rsid w:val="221A5E74"/>
    <w:rsid w:val="221C3EC6"/>
    <w:rsid w:val="2221772E"/>
    <w:rsid w:val="22274D44"/>
    <w:rsid w:val="222A0391"/>
    <w:rsid w:val="222C5744"/>
    <w:rsid w:val="222D1C2F"/>
    <w:rsid w:val="222D60D3"/>
    <w:rsid w:val="223353E3"/>
    <w:rsid w:val="22350AE4"/>
    <w:rsid w:val="22387500"/>
    <w:rsid w:val="223C1E72"/>
    <w:rsid w:val="223E7BD2"/>
    <w:rsid w:val="223F3F90"/>
    <w:rsid w:val="22415399"/>
    <w:rsid w:val="2245341D"/>
    <w:rsid w:val="22467C0E"/>
    <w:rsid w:val="224A3008"/>
    <w:rsid w:val="224A3B3C"/>
    <w:rsid w:val="224C47AB"/>
    <w:rsid w:val="22527BEF"/>
    <w:rsid w:val="22543660"/>
    <w:rsid w:val="22567011"/>
    <w:rsid w:val="22631AF5"/>
    <w:rsid w:val="2265761B"/>
    <w:rsid w:val="2269183E"/>
    <w:rsid w:val="22721D38"/>
    <w:rsid w:val="22786759"/>
    <w:rsid w:val="22794E74"/>
    <w:rsid w:val="227B0BEC"/>
    <w:rsid w:val="227F306E"/>
    <w:rsid w:val="22805062"/>
    <w:rsid w:val="228757E3"/>
    <w:rsid w:val="228A52D3"/>
    <w:rsid w:val="228E4A25"/>
    <w:rsid w:val="228E6B05"/>
    <w:rsid w:val="2295312C"/>
    <w:rsid w:val="2297064F"/>
    <w:rsid w:val="2297354C"/>
    <w:rsid w:val="229A4326"/>
    <w:rsid w:val="22A243CB"/>
    <w:rsid w:val="22A35E8B"/>
    <w:rsid w:val="22A939AB"/>
    <w:rsid w:val="22AA7723"/>
    <w:rsid w:val="22AB0F77"/>
    <w:rsid w:val="22B15DDD"/>
    <w:rsid w:val="22B20386"/>
    <w:rsid w:val="22B45EAC"/>
    <w:rsid w:val="22B644B2"/>
    <w:rsid w:val="22B97FFA"/>
    <w:rsid w:val="22C11525"/>
    <w:rsid w:val="22CF718A"/>
    <w:rsid w:val="22DB21E1"/>
    <w:rsid w:val="22DC59D7"/>
    <w:rsid w:val="22DD18A7"/>
    <w:rsid w:val="22DF561F"/>
    <w:rsid w:val="22EB02E0"/>
    <w:rsid w:val="22EE4E81"/>
    <w:rsid w:val="22F64717"/>
    <w:rsid w:val="22F71CAE"/>
    <w:rsid w:val="22F775AD"/>
    <w:rsid w:val="22F8048F"/>
    <w:rsid w:val="22FF35CB"/>
    <w:rsid w:val="2309460B"/>
    <w:rsid w:val="23095EB2"/>
    <w:rsid w:val="230A1F70"/>
    <w:rsid w:val="230C5CE8"/>
    <w:rsid w:val="23152DEF"/>
    <w:rsid w:val="23177A61"/>
    <w:rsid w:val="231A71BE"/>
    <w:rsid w:val="23234C69"/>
    <w:rsid w:val="23324D59"/>
    <w:rsid w:val="23336A07"/>
    <w:rsid w:val="23362D65"/>
    <w:rsid w:val="233B74DD"/>
    <w:rsid w:val="23400497"/>
    <w:rsid w:val="2342170A"/>
    <w:rsid w:val="234C1850"/>
    <w:rsid w:val="234E00AF"/>
    <w:rsid w:val="234F4604"/>
    <w:rsid w:val="23502079"/>
    <w:rsid w:val="2351194D"/>
    <w:rsid w:val="23531B69"/>
    <w:rsid w:val="23582CDC"/>
    <w:rsid w:val="235C2A4F"/>
    <w:rsid w:val="235C517B"/>
    <w:rsid w:val="236C55DC"/>
    <w:rsid w:val="236F5B8F"/>
    <w:rsid w:val="237815D0"/>
    <w:rsid w:val="237B31B9"/>
    <w:rsid w:val="23810484"/>
    <w:rsid w:val="238439FE"/>
    <w:rsid w:val="2386584B"/>
    <w:rsid w:val="238E0DF3"/>
    <w:rsid w:val="2392443F"/>
    <w:rsid w:val="2398757C"/>
    <w:rsid w:val="239C7838"/>
    <w:rsid w:val="23A14683"/>
    <w:rsid w:val="23A2482E"/>
    <w:rsid w:val="23A45F21"/>
    <w:rsid w:val="23A56924"/>
    <w:rsid w:val="23A76962"/>
    <w:rsid w:val="23AD74CB"/>
    <w:rsid w:val="23AF00A5"/>
    <w:rsid w:val="23B1063E"/>
    <w:rsid w:val="23B33488"/>
    <w:rsid w:val="23B9078B"/>
    <w:rsid w:val="23BB799D"/>
    <w:rsid w:val="23BC14BC"/>
    <w:rsid w:val="23BE7F1C"/>
    <w:rsid w:val="23C30A9D"/>
    <w:rsid w:val="23C370F3"/>
    <w:rsid w:val="23C6233B"/>
    <w:rsid w:val="23C63273"/>
    <w:rsid w:val="23CD36CA"/>
    <w:rsid w:val="23CE13A5"/>
    <w:rsid w:val="23D34A58"/>
    <w:rsid w:val="23D36806"/>
    <w:rsid w:val="23D5257E"/>
    <w:rsid w:val="23DE6CC4"/>
    <w:rsid w:val="23E2753D"/>
    <w:rsid w:val="23EA427B"/>
    <w:rsid w:val="23EC4AB6"/>
    <w:rsid w:val="23ED1676"/>
    <w:rsid w:val="23ED5B1A"/>
    <w:rsid w:val="23F202CF"/>
    <w:rsid w:val="23F549CE"/>
    <w:rsid w:val="23F8626D"/>
    <w:rsid w:val="23F92711"/>
    <w:rsid w:val="23F92A91"/>
    <w:rsid w:val="23FC75E0"/>
    <w:rsid w:val="23FD232E"/>
    <w:rsid w:val="240115C5"/>
    <w:rsid w:val="240B2444"/>
    <w:rsid w:val="240E200D"/>
    <w:rsid w:val="241430A6"/>
    <w:rsid w:val="24146284"/>
    <w:rsid w:val="241906BD"/>
    <w:rsid w:val="24262DDA"/>
    <w:rsid w:val="242802E8"/>
    <w:rsid w:val="24280900"/>
    <w:rsid w:val="24303C58"/>
    <w:rsid w:val="243A0633"/>
    <w:rsid w:val="244119C2"/>
    <w:rsid w:val="244219BE"/>
    <w:rsid w:val="24432A88"/>
    <w:rsid w:val="24433734"/>
    <w:rsid w:val="244607EC"/>
    <w:rsid w:val="2446347C"/>
    <w:rsid w:val="244D4C23"/>
    <w:rsid w:val="244F2331"/>
    <w:rsid w:val="24525685"/>
    <w:rsid w:val="245551D5"/>
    <w:rsid w:val="245D7D6A"/>
    <w:rsid w:val="245E5753"/>
    <w:rsid w:val="24632A99"/>
    <w:rsid w:val="246A1E43"/>
    <w:rsid w:val="246D0A09"/>
    <w:rsid w:val="2472555E"/>
    <w:rsid w:val="247D02F8"/>
    <w:rsid w:val="2483647E"/>
    <w:rsid w:val="24885842"/>
    <w:rsid w:val="248875F1"/>
    <w:rsid w:val="24935206"/>
    <w:rsid w:val="24961D0D"/>
    <w:rsid w:val="249661B1"/>
    <w:rsid w:val="24973245"/>
    <w:rsid w:val="249A1C21"/>
    <w:rsid w:val="249E1E41"/>
    <w:rsid w:val="24A3267C"/>
    <w:rsid w:val="24A7216D"/>
    <w:rsid w:val="24A84EE7"/>
    <w:rsid w:val="24AB0861"/>
    <w:rsid w:val="24AC12EF"/>
    <w:rsid w:val="24B168B7"/>
    <w:rsid w:val="24B623B0"/>
    <w:rsid w:val="24B96931"/>
    <w:rsid w:val="24C04FDC"/>
    <w:rsid w:val="24C0688D"/>
    <w:rsid w:val="24C10BC5"/>
    <w:rsid w:val="24C124B6"/>
    <w:rsid w:val="24C7636B"/>
    <w:rsid w:val="24D61965"/>
    <w:rsid w:val="24D665AE"/>
    <w:rsid w:val="24D674C6"/>
    <w:rsid w:val="24F0740C"/>
    <w:rsid w:val="24F37160"/>
    <w:rsid w:val="24F627AC"/>
    <w:rsid w:val="24F904EE"/>
    <w:rsid w:val="24F92921"/>
    <w:rsid w:val="24FA4054"/>
    <w:rsid w:val="24FD2609"/>
    <w:rsid w:val="24FD4DAF"/>
    <w:rsid w:val="25001EA9"/>
    <w:rsid w:val="2504136D"/>
    <w:rsid w:val="250E44D1"/>
    <w:rsid w:val="25186BC6"/>
    <w:rsid w:val="251913F0"/>
    <w:rsid w:val="2523198B"/>
    <w:rsid w:val="25282C2A"/>
    <w:rsid w:val="25292993"/>
    <w:rsid w:val="253323C9"/>
    <w:rsid w:val="2536529E"/>
    <w:rsid w:val="253F51FD"/>
    <w:rsid w:val="254B1265"/>
    <w:rsid w:val="254C4AC2"/>
    <w:rsid w:val="254E5C11"/>
    <w:rsid w:val="2550693F"/>
    <w:rsid w:val="255A4564"/>
    <w:rsid w:val="255A571A"/>
    <w:rsid w:val="255B7BB7"/>
    <w:rsid w:val="2561056D"/>
    <w:rsid w:val="25656241"/>
    <w:rsid w:val="25661D2C"/>
    <w:rsid w:val="25664DA2"/>
    <w:rsid w:val="257356BC"/>
    <w:rsid w:val="25753D18"/>
    <w:rsid w:val="25754019"/>
    <w:rsid w:val="25761B3F"/>
    <w:rsid w:val="25761E30"/>
    <w:rsid w:val="257701D5"/>
    <w:rsid w:val="25805DA1"/>
    <w:rsid w:val="25845209"/>
    <w:rsid w:val="25874420"/>
    <w:rsid w:val="25876F55"/>
    <w:rsid w:val="259334F5"/>
    <w:rsid w:val="25B52667"/>
    <w:rsid w:val="25BC1449"/>
    <w:rsid w:val="25BC39F6"/>
    <w:rsid w:val="25BD07D4"/>
    <w:rsid w:val="25C34BEF"/>
    <w:rsid w:val="25C86916"/>
    <w:rsid w:val="25CB1E8B"/>
    <w:rsid w:val="25D30D3F"/>
    <w:rsid w:val="25DF5936"/>
    <w:rsid w:val="25E1520A"/>
    <w:rsid w:val="25EE7927"/>
    <w:rsid w:val="25EF4381"/>
    <w:rsid w:val="25F0369F"/>
    <w:rsid w:val="25F969F8"/>
    <w:rsid w:val="26007187"/>
    <w:rsid w:val="26032705"/>
    <w:rsid w:val="260437E9"/>
    <w:rsid w:val="260679A3"/>
    <w:rsid w:val="260A6ACF"/>
    <w:rsid w:val="261204AA"/>
    <w:rsid w:val="261803C5"/>
    <w:rsid w:val="2619154A"/>
    <w:rsid w:val="261B5917"/>
    <w:rsid w:val="26265313"/>
    <w:rsid w:val="262C3EBA"/>
    <w:rsid w:val="262C799C"/>
    <w:rsid w:val="2630419C"/>
    <w:rsid w:val="26320E17"/>
    <w:rsid w:val="263317DE"/>
    <w:rsid w:val="26332DD0"/>
    <w:rsid w:val="263A0DBE"/>
    <w:rsid w:val="263D3FE6"/>
    <w:rsid w:val="263E7DD6"/>
    <w:rsid w:val="2641214D"/>
    <w:rsid w:val="26431A21"/>
    <w:rsid w:val="26485289"/>
    <w:rsid w:val="264B0649"/>
    <w:rsid w:val="264E03C6"/>
    <w:rsid w:val="264E2C81"/>
    <w:rsid w:val="26526108"/>
    <w:rsid w:val="2653258E"/>
    <w:rsid w:val="265C24B0"/>
    <w:rsid w:val="26657474"/>
    <w:rsid w:val="267267AA"/>
    <w:rsid w:val="26760048"/>
    <w:rsid w:val="267824D0"/>
    <w:rsid w:val="267918E7"/>
    <w:rsid w:val="267A11BB"/>
    <w:rsid w:val="26855D2A"/>
    <w:rsid w:val="26865D56"/>
    <w:rsid w:val="26875581"/>
    <w:rsid w:val="26891C6E"/>
    <w:rsid w:val="26920BFA"/>
    <w:rsid w:val="26926768"/>
    <w:rsid w:val="269A25A7"/>
    <w:rsid w:val="26A13A8A"/>
    <w:rsid w:val="26A30712"/>
    <w:rsid w:val="26A5448A"/>
    <w:rsid w:val="26A76454"/>
    <w:rsid w:val="26AA1AA0"/>
    <w:rsid w:val="26B00F65"/>
    <w:rsid w:val="26B90C6C"/>
    <w:rsid w:val="26C40AC3"/>
    <w:rsid w:val="26C64400"/>
    <w:rsid w:val="26D7485F"/>
    <w:rsid w:val="26D92385"/>
    <w:rsid w:val="26D93AFC"/>
    <w:rsid w:val="26DB7EAB"/>
    <w:rsid w:val="26DE5BEE"/>
    <w:rsid w:val="26E14873"/>
    <w:rsid w:val="26EA27E4"/>
    <w:rsid w:val="26EB3E67"/>
    <w:rsid w:val="26F0032F"/>
    <w:rsid w:val="26F962C2"/>
    <w:rsid w:val="26FB054E"/>
    <w:rsid w:val="26FD33DF"/>
    <w:rsid w:val="26FD42C6"/>
    <w:rsid w:val="26FE5CCE"/>
    <w:rsid w:val="2704641C"/>
    <w:rsid w:val="270513CC"/>
    <w:rsid w:val="271611CC"/>
    <w:rsid w:val="27165388"/>
    <w:rsid w:val="27196C26"/>
    <w:rsid w:val="271F7258"/>
    <w:rsid w:val="27201D62"/>
    <w:rsid w:val="27225ADA"/>
    <w:rsid w:val="27282C11"/>
    <w:rsid w:val="272950BB"/>
    <w:rsid w:val="272C4BAB"/>
    <w:rsid w:val="27322B4C"/>
    <w:rsid w:val="27337CE7"/>
    <w:rsid w:val="273852FE"/>
    <w:rsid w:val="27394E77"/>
    <w:rsid w:val="273B3040"/>
    <w:rsid w:val="273C2EE6"/>
    <w:rsid w:val="274570EF"/>
    <w:rsid w:val="27495DBA"/>
    <w:rsid w:val="274B2EA4"/>
    <w:rsid w:val="274E68CF"/>
    <w:rsid w:val="27510976"/>
    <w:rsid w:val="27650787"/>
    <w:rsid w:val="27672227"/>
    <w:rsid w:val="276B5668"/>
    <w:rsid w:val="276C66BB"/>
    <w:rsid w:val="277154D9"/>
    <w:rsid w:val="27796C93"/>
    <w:rsid w:val="277B168E"/>
    <w:rsid w:val="277F4270"/>
    <w:rsid w:val="278646D3"/>
    <w:rsid w:val="27866732"/>
    <w:rsid w:val="27897907"/>
    <w:rsid w:val="2798235F"/>
    <w:rsid w:val="27995B99"/>
    <w:rsid w:val="279A1945"/>
    <w:rsid w:val="279A6571"/>
    <w:rsid w:val="27A60298"/>
    <w:rsid w:val="27A91D58"/>
    <w:rsid w:val="27AB1F74"/>
    <w:rsid w:val="27AB3D22"/>
    <w:rsid w:val="27AE55C0"/>
    <w:rsid w:val="27B03943"/>
    <w:rsid w:val="27B626C7"/>
    <w:rsid w:val="27B64475"/>
    <w:rsid w:val="27B75F9A"/>
    <w:rsid w:val="27B8643F"/>
    <w:rsid w:val="27BD3A55"/>
    <w:rsid w:val="27BF5A1F"/>
    <w:rsid w:val="27C54362"/>
    <w:rsid w:val="27C546B8"/>
    <w:rsid w:val="27C70430"/>
    <w:rsid w:val="27C748D4"/>
    <w:rsid w:val="27C9064C"/>
    <w:rsid w:val="27D03788"/>
    <w:rsid w:val="27D13DEA"/>
    <w:rsid w:val="27D36DD5"/>
    <w:rsid w:val="27D668C5"/>
    <w:rsid w:val="27D94D34"/>
    <w:rsid w:val="27E5180D"/>
    <w:rsid w:val="27EB05C2"/>
    <w:rsid w:val="27ED58D7"/>
    <w:rsid w:val="27F040E9"/>
    <w:rsid w:val="27F05BD9"/>
    <w:rsid w:val="27F8683B"/>
    <w:rsid w:val="27FB588D"/>
    <w:rsid w:val="28025F3B"/>
    <w:rsid w:val="280B35F7"/>
    <w:rsid w:val="280E2503"/>
    <w:rsid w:val="281123FA"/>
    <w:rsid w:val="28120D54"/>
    <w:rsid w:val="28190CE8"/>
    <w:rsid w:val="281D62A2"/>
    <w:rsid w:val="282765BB"/>
    <w:rsid w:val="28286B2B"/>
    <w:rsid w:val="282A3E6C"/>
    <w:rsid w:val="282A5C6A"/>
    <w:rsid w:val="282C4737"/>
    <w:rsid w:val="282F4961"/>
    <w:rsid w:val="283019BF"/>
    <w:rsid w:val="28373807"/>
    <w:rsid w:val="283830DC"/>
    <w:rsid w:val="283C746E"/>
    <w:rsid w:val="28485A15"/>
    <w:rsid w:val="284C0BBC"/>
    <w:rsid w:val="284D51CB"/>
    <w:rsid w:val="284D6B87"/>
    <w:rsid w:val="285016D9"/>
    <w:rsid w:val="285070E1"/>
    <w:rsid w:val="28575488"/>
    <w:rsid w:val="285C14C0"/>
    <w:rsid w:val="28623DBB"/>
    <w:rsid w:val="28665E9B"/>
    <w:rsid w:val="28795BCE"/>
    <w:rsid w:val="288307FB"/>
    <w:rsid w:val="28852586"/>
    <w:rsid w:val="288655B1"/>
    <w:rsid w:val="288A5DD7"/>
    <w:rsid w:val="28902F18"/>
    <w:rsid w:val="289106B5"/>
    <w:rsid w:val="289B3D96"/>
    <w:rsid w:val="289E73E3"/>
    <w:rsid w:val="28A25277"/>
    <w:rsid w:val="28A36E17"/>
    <w:rsid w:val="28A56B37"/>
    <w:rsid w:val="28A644E9"/>
    <w:rsid w:val="28A763A2"/>
    <w:rsid w:val="28B9246E"/>
    <w:rsid w:val="28BC1F5F"/>
    <w:rsid w:val="28BC4DC2"/>
    <w:rsid w:val="28BF5AD2"/>
    <w:rsid w:val="28BF7A39"/>
    <w:rsid w:val="28C43A16"/>
    <w:rsid w:val="28C64B8B"/>
    <w:rsid w:val="28D4736D"/>
    <w:rsid w:val="28D63020"/>
    <w:rsid w:val="28DA0B2D"/>
    <w:rsid w:val="28F634B0"/>
    <w:rsid w:val="28FC05AD"/>
    <w:rsid w:val="28FC297D"/>
    <w:rsid w:val="290309EC"/>
    <w:rsid w:val="29037B8D"/>
    <w:rsid w:val="290B259E"/>
    <w:rsid w:val="290F6532"/>
    <w:rsid w:val="2910680C"/>
    <w:rsid w:val="29115C5B"/>
    <w:rsid w:val="291678C1"/>
    <w:rsid w:val="291A0A4E"/>
    <w:rsid w:val="292662E3"/>
    <w:rsid w:val="29286AA6"/>
    <w:rsid w:val="292E626C"/>
    <w:rsid w:val="292F0982"/>
    <w:rsid w:val="292F5A88"/>
    <w:rsid w:val="293117AC"/>
    <w:rsid w:val="29373FB6"/>
    <w:rsid w:val="293B10D5"/>
    <w:rsid w:val="2940049A"/>
    <w:rsid w:val="2941542B"/>
    <w:rsid w:val="29424212"/>
    <w:rsid w:val="294361DC"/>
    <w:rsid w:val="2944442E"/>
    <w:rsid w:val="29453D02"/>
    <w:rsid w:val="29454E24"/>
    <w:rsid w:val="2947300F"/>
    <w:rsid w:val="294767DE"/>
    <w:rsid w:val="294A14F9"/>
    <w:rsid w:val="294B473C"/>
    <w:rsid w:val="294F2DD3"/>
    <w:rsid w:val="295156F1"/>
    <w:rsid w:val="295170C8"/>
    <w:rsid w:val="29550793"/>
    <w:rsid w:val="295B048D"/>
    <w:rsid w:val="295B3466"/>
    <w:rsid w:val="295E3016"/>
    <w:rsid w:val="295F3665"/>
    <w:rsid w:val="296D247A"/>
    <w:rsid w:val="297302B7"/>
    <w:rsid w:val="2976035F"/>
    <w:rsid w:val="297B7724"/>
    <w:rsid w:val="297C6E29"/>
    <w:rsid w:val="29807E14"/>
    <w:rsid w:val="298E6892"/>
    <w:rsid w:val="29902B79"/>
    <w:rsid w:val="29932CBF"/>
    <w:rsid w:val="299627B0"/>
    <w:rsid w:val="299802D6"/>
    <w:rsid w:val="29982084"/>
    <w:rsid w:val="29983147"/>
    <w:rsid w:val="299F1B41"/>
    <w:rsid w:val="29A175F2"/>
    <w:rsid w:val="29A547A1"/>
    <w:rsid w:val="29B175E9"/>
    <w:rsid w:val="29B6075C"/>
    <w:rsid w:val="29B8688A"/>
    <w:rsid w:val="29B901FB"/>
    <w:rsid w:val="29BC2FD3"/>
    <w:rsid w:val="29BE32C9"/>
    <w:rsid w:val="29C27101"/>
    <w:rsid w:val="29C62E61"/>
    <w:rsid w:val="29C76B09"/>
    <w:rsid w:val="29CE3CF8"/>
    <w:rsid w:val="29CF33D4"/>
    <w:rsid w:val="29D52FB9"/>
    <w:rsid w:val="29D84B76"/>
    <w:rsid w:val="29E259F5"/>
    <w:rsid w:val="29E277A3"/>
    <w:rsid w:val="29E542D1"/>
    <w:rsid w:val="29F00112"/>
    <w:rsid w:val="29F20751"/>
    <w:rsid w:val="29FB2F4D"/>
    <w:rsid w:val="29FD093B"/>
    <w:rsid w:val="29FE5D9D"/>
    <w:rsid w:val="2A0239A1"/>
    <w:rsid w:val="2A0839B1"/>
    <w:rsid w:val="2A0911D4"/>
    <w:rsid w:val="2A0E1C03"/>
    <w:rsid w:val="2A0F2F94"/>
    <w:rsid w:val="2A1262DA"/>
    <w:rsid w:val="2A1F724F"/>
    <w:rsid w:val="2A21651D"/>
    <w:rsid w:val="2A282684"/>
    <w:rsid w:val="2A2878AC"/>
    <w:rsid w:val="2A2D4763"/>
    <w:rsid w:val="2A3224D8"/>
    <w:rsid w:val="2A3F69A3"/>
    <w:rsid w:val="2A426494"/>
    <w:rsid w:val="2A4274FE"/>
    <w:rsid w:val="2A456AC0"/>
    <w:rsid w:val="2A461AE0"/>
    <w:rsid w:val="2A5306A1"/>
    <w:rsid w:val="2A5A37DD"/>
    <w:rsid w:val="2A6401B8"/>
    <w:rsid w:val="2A6428AE"/>
    <w:rsid w:val="2A677CA8"/>
    <w:rsid w:val="2A6D3510"/>
    <w:rsid w:val="2A701253"/>
    <w:rsid w:val="2A720B27"/>
    <w:rsid w:val="2A742AF1"/>
    <w:rsid w:val="2A7E0A2F"/>
    <w:rsid w:val="2A83307B"/>
    <w:rsid w:val="2A8C43D1"/>
    <w:rsid w:val="2A8E02F3"/>
    <w:rsid w:val="2A944F41"/>
    <w:rsid w:val="2A994548"/>
    <w:rsid w:val="2A9B35A4"/>
    <w:rsid w:val="2AA400B3"/>
    <w:rsid w:val="2AAB0370"/>
    <w:rsid w:val="2AAD0433"/>
    <w:rsid w:val="2AAD0869"/>
    <w:rsid w:val="2AAE58D7"/>
    <w:rsid w:val="2AB27175"/>
    <w:rsid w:val="2AC301E7"/>
    <w:rsid w:val="2AC450FA"/>
    <w:rsid w:val="2ACB0237"/>
    <w:rsid w:val="2ACB6489"/>
    <w:rsid w:val="2AD52E64"/>
    <w:rsid w:val="2AE5754B"/>
    <w:rsid w:val="2AE86B96"/>
    <w:rsid w:val="2AE9777F"/>
    <w:rsid w:val="2AEF03C9"/>
    <w:rsid w:val="2AF459E0"/>
    <w:rsid w:val="2AF7102C"/>
    <w:rsid w:val="2AF90A52"/>
    <w:rsid w:val="2B006133"/>
    <w:rsid w:val="2B02288F"/>
    <w:rsid w:val="2B02634F"/>
    <w:rsid w:val="2B0B2D29"/>
    <w:rsid w:val="2B0B4AD7"/>
    <w:rsid w:val="2B1308CD"/>
    <w:rsid w:val="2B1409BE"/>
    <w:rsid w:val="2B163BF9"/>
    <w:rsid w:val="2B1A4D1A"/>
    <w:rsid w:val="2B1D27AE"/>
    <w:rsid w:val="2B2D7144"/>
    <w:rsid w:val="2B367DA6"/>
    <w:rsid w:val="2B3B716B"/>
    <w:rsid w:val="2B434271"/>
    <w:rsid w:val="2B471B06"/>
    <w:rsid w:val="2B471FB3"/>
    <w:rsid w:val="2B4D6DCE"/>
    <w:rsid w:val="2B5462B4"/>
    <w:rsid w:val="2B6370E4"/>
    <w:rsid w:val="2B642CEF"/>
    <w:rsid w:val="2B6A165E"/>
    <w:rsid w:val="2B6F150A"/>
    <w:rsid w:val="2B717030"/>
    <w:rsid w:val="2B726905"/>
    <w:rsid w:val="2B735280"/>
    <w:rsid w:val="2B7803BF"/>
    <w:rsid w:val="2B786611"/>
    <w:rsid w:val="2B7875F1"/>
    <w:rsid w:val="2B856638"/>
    <w:rsid w:val="2B88169E"/>
    <w:rsid w:val="2B8D4701"/>
    <w:rsid w:val="2B911310"/>
    <w:rsid w:val="2B9444D2"/>
    <w:rsid w:val="2B980B7C"/>
    <w:rsid w:val="2B987E9B"/>
    <w:rsid w:val="2BA06B37"/>
    <w:rsid w:val="2BA27B64"/>
    <w:rsid w:val="2BA422CD"/>
    <w:rsid w:val="2BA50F10"/>
    <w:rsid w:val="2BB1567F"/>
    <w:rsid w:val="2BBF1CAF"/>
    <w:rsid w:val="2BC073E1"/>
    <w:rsid w:val="2BC730F4"/>
    <w:rsid w:val="2BC770EE"/>
    <w:rsid w:val="2BD80D9A"/>
    <w:rsid w:val="2BDB630D"/>
    <w:rsid w:val="2BDD4514"/>
    <w:rsid w:val="2BE041B6"/>
    <w:rsid w:val="2BE710A1"/>
    <w:rsid w:val="2BE772F2"/>
    <w:rsid w:val="2BE912BD"/>
    <w:rsid w:val="2BEE01C4"/>
    <w:rsid w:val="2BEF6E74"/>
    <w:rsid w:val="2BF1115F"/>
    <w:rsid w:val="2C01156D"/>
    <w:rsid w:val="2C041C52"/>
    <w:rsid w:val="2C081D21"/>
    <w:rsid w:val="2C0F01DF"/>
    <w:rsid w:val="2C0F0AB8"/>
    <w:rsid w:val="2C1125C1"/>
    <w:rsid w:val="2C195441"/>
    <w:rsid w:val="2C1A3224"/>
    <w:rsid w:val="2C1C7E22"/>
    <w:rsid w:val="2C212804"/>
    <w:rsid w:val="2C23611C"/>
    <w:rsid w:val="2C265761"/>
    <w:rsid w:val="2C286B06"/>
    <w:rsid w:val="2C287547"/>
    <w:rsid w:val="2C29790B"/>
    <w:rsid w:val="2C297EA6"/>
    <w:rsid w:val="2C2B3683"/>
    <w:rsid w:val="2C2C5AC2"/>
    <w:rsid w:val="2C363032"/>
    <w:rsid w:val="2C3745A1"/>
    <w:rsid w:val="2C3A38C6"/>
    <w:rsid w:val="2C3A4870"/>
    <w:rsid w:val="2C416A03"/>
    <w:rsid w:val="2C42277B"/>
    <w:rsid w:val="2C424529"/>
    <w:rsid w:val="2C4571CC"/>
    <w:rsid w:val="2C471B3F"/>
    <w:rsid w:val="2C485FCE"/>
    <w:rsid w:val="2C4D61EA"/>
    <w:rsid w:val="2C640943"/>
    <w:rsid w:val="2C640EAA"/>
    <w:rsid w:val="2C6B3477"/>
    <w:rsid w:val="2C6B5D5F"/>
    <w:rsid w:val="2C6C097B"/>
    <w:rsid w:val="2C6D3C9C"/>
    <w:rsid w:val="2C6D5A4A"/>
    <w:rsid w:val="2C714E36"/>
    <w:rsid w:val="2C7F4E3D"/>
    <w:rsid w:val="2C813499"/>
    <w:rsid w:val="2C8142B0"/>
    <w:rsid w:val="2C8368AA"/>
    <w:rsid w:val="2C842D93"/>
    <w:rsid w:val="2C882884"/>
    <w:rsid w:val="2C8D7E9A"/>
    <w:rsid w:val="2C8E7F4B"/>
    <w:rsid w:val="2C90798A"/>
    <w:rsid w:val="2C924151"/>
    <w:rsid w:val="2C934D84"/>
    <w:rsid w:val="2C935A95"/>
    <w:rsid w:val="2C954FA0"/>
    <w:rsid w:val="2C9C1E8B"/>
    <w:rsid w:val="2C9D156B"/>
    <w:rsid w:val="2C9F3729"/>
    <w:rsid w:val="2CA1674A"/>
    <w:rsid w:val="2CA658B0"/>
    <w:rsid w:val="2CAD0300"/>
    <w:rsid w:val="2CAE6A65"/>
    <w:rsid w:val="2CB2345D"/>
    <w:rsid w:val="2CB25B52"/>
    <w:rsid w:val="2CBA0CA5"/>
    <w:rsid w:val="2CBF6432"/>
    <w:rsid w:val="2CC55886"/>
    <w:rsid w:val="2CCD64E8"/>
    <w:rsid w:val="2CCF64F7"/>
    <w:rsid w:val="2CD258AD"/>
    <w:rsid w:val="2CDB0539"/>
    <w:rsid w:val="2CDB20AF"/>
    <w:rsid w:val="2CE86358"/>
    <w:rsid w:val="2CED26E7"/>
    <w:rsid w:val="2CF03F85"/>
    <w:rsid w:val="2CF55A3F"/>
    <w:rsid w:val="2CF72B9B"/>
    <w:rsid w:val="2CFD4C92"/>
    <w:rsid w:val="2CFE2B46"/>
    <w:rsid w:val="2D0219A9"/>
    <w:rsid w:val="2D031489"/>
    <w:rsid w:val="2D032D66"/>
    <w:rsid w:val="2D0A14EA"/>
    <w:rsid w:val="2D0D2D89"/>
    <w:rsid w:val="2D0F2D3F"/>
    <w:rsid w:val="2D104D7E"/>
    <w:rsid w:val="2D1D4657"/>
    <w:rsid w:val="2D1D6D8A"/>
    <w:rsid w:val="2D262936"/>
    <w:rsid w:val="2D273EAC"/>
    <w:rsid w:val="2D281971"/>
    <w:rsid w:val="2D2D0FDE"/>
    <w:rsid w:val="2D31197B"/>
    <w:rsid w:val="2D346567"/>
    <w:rsid w:val="2D3B4361"/>
    <w:rsid w:val="2D3F481C"/>
    <w:rsid w:val="2D430559"/>
    <w:rsid w:val="2D452523"/>
    <w:rsid w:val="2D48088D"/>
    <w:rsid w:val="2D482013"/>
    <w:rsid w:val="2D4A5D8B"/>
    <w:rsid w:val="2D4B38B1"/>
    <w:rsid w:val="2D4D1F8C"/>
    <w:rsid w:val="2D4F514F"/>
    <w:rsid w:val="2D4F6EFD"/>
    <w:rsid w:val="2D5229F7"/>
    <w:rsid w:val="2D542766"/>
    <w:rsid w:val="2D574C2B"/>
    <w:rsid w:val="2D5C73D0"/>
    <w:rsid w:val="2D5F1B9A"/>
    <w:rsid w:val="2D5F7A5F"/>
    <w:rsid w:val="2D64245B"/>
    <w:rsid w:val="2D64619C"/>
    <w:rsid w:val="2D6706EB"/>
    <w:rsid w:val="2D6757B9"/>
    <w:rsid w:val="2D6A1F89"/>
    <w:rsid w:val="2D6C5D01"/>
    <w:rsid w:val="2D6E326B"/>
    <w:rsid w:val="2D7E5A35"/>
    <w:rsid w:val="2D87142C"/>
    <w:rsid w:val="2D872B3B"/>
    <w:rsid w:val="2D8C1F00"/>
    <w:rsid w:val="2D8C63A3"/>
    <w:rsid w:val="2D8E211C"/>
    <w:rsid w:val="2D8E588F"/>
    <w:rsid w:val="2D9D410D"/>
    <w:rsid w:val="2DA76D39"/>
    <w:rsid w:val="2DAC0D71"/>
    <w:rsid w:val="2DAF5BEE"/>
    <w:rsid w:val="2DB112D1"/>
    <w:rsid w:val="2DB11966"/>
    <w:rsid w:val="2DC21DC5"/>
    <w:rsid w:val="2DC37EEA"/>
    <w:rsid w:val="2DC45B3D"/>
    <w:rsid w:val="2DC63D92"/>
    <w:rsid w:val="2DC71FF6"/>
    <w:rsid w:val="2DC94546"/>
    <w:rsid w:val="2DD438A6"/>
    <w:rsid w:val="2DEB0994"/>
    <w:rsid w:val="2DF141E4"/>
    <w:rsid w:val="2DF36ECA"/>
    <w:rsid w:val="2E04418C"/>
    <w:rsid w:val="2E047B40"/>
    <w:rsid w:val="2E0F48DF"/>
    <w:rsid w:val="2E106174"/>
    <w:rsid w:val="2E106B23"/>
    <w:rsid w:val="2E114AFB"/>
    <w:rsid w:val="2E1B02C5"/>
    <w:rsid w:val="2E20089A"/>
    <w:rsid w:val="2E241789"/>
    <w:rsid w:val="2E24482E"/>
    <w:rsid w:val="2E2B3845"/>
    <w:rsid w:val="2E2B796A"/>
    <w:rsid w:val="2E2C12DF"/>
    <w:rsid w:val="2E310CF9"/>
    <w:rsid w:val="2E3507E9"/>
    <w:rsid w:val="2E3D30D1"/>
    <w:rsid w:val="2E3D58F0"/>
    <w:rsid w:val="2E3E084B"/>
    <w:rsid w:val="2E415BED"/>
    <w:rsid w:val="2E491B1D"/>
    <w:rsid w:val="2E494294"/>
    <w:rsid w:val="2E550C71"/>
    <w:rsid w:val="2E567A6E"/>
    <w:rsid w:val="2E586286"/>
    <w:rsid w:val="2E5E026F"/>
    <w:rsid w:val="2E652A9E"/>
    <w:rsid w:val="2E6C3ADF"/>
    <w:rsid w:val="2E7035CF"/>
    <w:rsid w:val="2E760C6E"/>
    <w:rsid w:val="2E786F75"/>
    <w:rsid w:val="2E7B1F74"/>
    <w:rsid w:val="2E7D4387"/>
    <w:rsid w:val="2E7D5AE7"/>
    <w:rsid w:val="2E864BA1"/>
    <w:rsid w:val="2E894691"/>
    <w:rsid w:val="2E8B544F"/>
    <w:rsid w:val="2E8C5391"/>
    <w:rsid w:val="2E9215C0"/>
    <w:rsid w:val="2E942CFE"/>
    <w:rsid w:val="2E965909"/>
    <w:rsid w:val="2E98224C"/>
    <w:rsid w:val="2E9C2616"/>
    <w:rsid w:val="2E9C3C19"/>
    <w:rsid w:val="2EA37912"/>
    <w:rsid w:val="2EA850C9"/>
    <w:rsid w:val="2EA94D33"/>
    <w:rsid w:val="2EAC037F"/>
    <w:rsid w:val="2EAC7532"/>
    <w:rsid w:val="2EB3519D"/>
    <w:rsid w:val="2EB62BDC"/>
    <w:rsid w:val="2EB931C8"/>
    <w:rsid w:val="2EBA2A9C"/>
    <w:rsid w:val="2EBC4A66"/>
    <w:rsid w:val="2EBD19D6"/>
    <w:rsid w:val="2EBE0B0A"/>
    <w:rsid w:val="2EC13E2B"/>
    <w:rsid w:val="2EC309C5"/>
    <w:rsid w:val="2ECE6548"/>
    <w:rsid w:val="2ED26D1D"/>
    <w:rsid w:val="2ED81174"/>
    <w:rsid w:val="2EE61AE3"/>
    <w:rsid w:val="2EE62A96"/>
    <w:rsid w:val="2EE9665E"/>
    <w:rsid w:val="2EEA6869"/>
    <w:rsid w:val="2EEB08E6"/>
    <w:rsid w:val="2EEE0998"/>
    <w:rsid w:val="2EFF1FF7"/>
    <w:rsid w:val="2EFF2BA5"/>
    <w:rsid w:val="2F001F7D"/>
    <w:rsid w:val="2F007974"/>
    <w:rsid w:val="2F032695"/>
    <w:rsid w:val="2F0D0E1E"/>
    <w:rsid w:val="2F0E4B96"/>
    <w:rsid w:val="2F112831"/>
    <w:rsid w:val="2F1228D8"/>
    <w:rsid w:val="2F195133"/>
    <w:rsid w:val="2F1D3A6A"/>
    <w:rsid w:val="2F2B1BEC"/>
    <w:rsid w:val="2F300FB0"/>
    <w:rsid w:val="2F302D5E"/>
    <w:rsid w:val="2F3565C7"/>
    <w:rsid w:val="2F3B59D6"/>
    <w:rsid w:val="2F4011D4"/>
    <w:rsid w:val="2F455F06"/>
    <w:rsid w:val="2F480C68"/>
    <w:rsid w:val="2F4F58DB"/>
    <w:rsid w:val="2F57653D"/>
    <w:rsid w:val="2F594837"/>
    <w:rsid w:val="2F662C24"/>
    <w:rsid w:val="2F666780"/>
    <w:rsid w:val="2F6B2D15"/>
    <w:rsid w:val="2F737F48"/>
    <w:rsid w:val="2F7837B6"/>
    <w:rsid w:val="2F7D26E2"/>
    <w:rsid w:val="2F827A5E"/>
    <w:rsid w:val="2F875074"/>
    <w:rsid w:val="2F8961FB"/>
    <w:rsid w:val="2F8F1C43"/>
    <w:rsid w:val="2F920BF0"/>
    <w:rsid w:val="2F927575"/>
    <w:rsid w:val="2F971030"/>
    <w:rsid w:val="2F990904"/>
    <w:rsid w:val="2F995C87"/>
    <w:rsid w:val="2F9A4E39"/>
    <w:rsid w:val="2F9C24E1"/>
    <w:rsid w:val="2F9E55FD"/>
    <w:rsid w:val="2FA2185E"/>
    <w:rsid w:val="2FA23C5C"/>
    <w:rsid w:val="2FA304E3"/>
    <w:rsid w:val="2FB01989"/>
    <w:rsid w:val="2FB0209D"/>
    <w:rsid w:val="2FB40924"/>
    <w:rsid w:val="2FBD0A96"/>
    <w:rsid w:val="2FBF2DE7"/>
    <w:rsid w:val="2FC516F9"/>
    <w:rsid w:val="2FCD4A51"/>
    <w:rsid w:val="2FD61B58"/>
    <w:rsid w:val="2FD970C5"/>
    <w:rsid w:val="2FDF72C9"/>
    <w:rsid w:val="2FE204FD"/>
    <w:rsid w:val="2FEA115F"/>
    <w:rsid w:val="2FEC3129"/>
    <w:rsid w:val="2FED29FE"/>
    <w:rsid w:val="2FEF263F"/>
    <w:rsid w:val="2FEF2C1A"/>
    <w:rsid w:val="2FF87D20"/>
    <w:rsid w:val="2FFF6FB3"/>
    <w:rsid w:val="300742D6"/>
    <w:rsid w:val="300A35B0"/>
    <w:rsid w:val="300B11A6"/>
    <w:rsid w:val="300F57CE"/>
    <w:rsid w:val="3014746B"/>
    <w:rsid w:val="30156DB2"/>
    <w:rsid w:val="301A32FA"/>
    <w:rsid w:val="301E6B14"/>
    <w:rsid w:val="301F34FF"/>
    <w:rsid w:val="30202DD3"/>
    <w:rsid w:val="30232DFD"/>
    <w:rsid w:val="30246A80"/>
    <w:rsid w:val="30270AF6"/>
    <w:rsid w:val="30297EDA"/>
    <w:rsid w:val="302D3E76"/>
    <w:rsid w:val="3034062C"/>
    <w:rsid w:val="30397D2F"/>
    <w:rsid w:val="303D5733"/>
    <w:rsid w:val="30444D13"/>
    <w:rsid w:val="30474804"/>
    <w:rsid w:val="304B02F0"/>
    <w:rsid w:val="30515682"/>
    <w:rsid w:val="3053164D"/>
    <w:rsid w:val="30564A47"/>
    <w:rsid w:val="305667F5"/>
    <w:rsid w:val="305807BF"/>
    <w:rsid w:val="305D065B"/>
    <w:rsid w:val="305D5DD5"/>
    <w:rsid w:val="30664AB7"/>
    <w:rsid w:val="3066758D"/>
    <w:rsid w:val="3067661F"/>
    <w:rsid w:val="30676C54"/>
    <w:rsid w:val="306B4BAB"/>
    <w:rsid w:val="306C6018"/>
    <w:rsid w:val="3072291E"/>
    <w:rsid w:val="30794C73"/>
    <w:rsid w:val="3080206C"/>
    <w:rsid w:val="30835D5B"/>
    <w:rsid w:val="30847DA8"/>
    <w:rsid w:val="308C0468"/>
    <w:rsid w:val="308E0262"/>
    <w:rsid w:val="30907F59"/>
    <w:rsid w:val="3091782D"/>
    <w:rsid w:val="309335A5"/>
    <w:rsid w:val="3095731D"/>
    <w:rsid w:val="30980BBB"/>
    <w:rsid w:val="309A177C"/>
    <w:rsid w:val="309C68FD"/>
    <w:rsid w:val="309D61D2"/>
    <w:rsid w:val="309F2733"/>
    <w:rsid w:val="309F5978"/>
    <w:rsid w:val="30A43A04"/>
    <w:rsid w:val="30A57971"/>
    <w:rsid w:val="30A6777C"/>
    <w:rsid w:val="30A87184"/>
    <w:rsid w:val="30AB6B41"/>
    <w:rsid w:val="30AE2234"/>
    <w:rsid w:val="30B023A9"/>
    <w:rsid w:val="30B42410"/>
    <w:rsid w:val="30B52E48"/>
    <w:rsid w:val="30B55C11"/>
    <w:rsid w:val="30B56C66"/>
    <w:rsid w:val="30B74DAD"/>
    <w:rsid w:val="30BA4FD6"/>
    <w:rsid w:val="30BC6FA0"/>
    <w:rsid w:val="30BF25EC"/>
    <w:rsid w:val="30BF2C2F"/>
    <w:rsid w:val="30C23E8A"/>
    <w:rsid w:val="30C45E54"/>
    <w:rsid w:val="30C5646D"/>
    <w:rsid w:val="30C84F8D"/>
    <w:rsid w:val="30D71C53"/>
    <w:rsid w:val="30DD7CCE"/>
    <w:rsid w:val="30DE251B"/>
    <w:rsid w:val="30DF7D0D"/>
    <w:rsid w:val="30F1651D"/>
    <w:rsid w:val="30F229C1"/>
    <w:rsid w:val="30F2476F"/>
    <w:rsid w:val="30F524B2"/>
    <w:rsid w:val="30F57DBC"/>
    <w:rsid w:val="30FB0352"/>
    <w:rsid w:val="3101660F"/>
    <w:rsid w:val="31056C18"/>
    <w:rsid w:val="31097D0B"/>
    <w:rsid w:val="31197F4E"/>
    <w:rsid w:val="311A1F18"/>
    <w:rsid w:val="311A3AFE"/>
    <w:rsid w:val="311E1D7F"/>
    <w:rsid w:val="31292C4A"/>
    <w:rsid w:val="312B1A2F"/>
    <w:rsid w:val="31386F87"/>
    <w:rsid w:val="313E79B5"/>
    <w:rsid w:val="314174A5"/>
    <w:rsid w:val="31496359"/>
    <w:rsid w:val="31497F0F"/>
    <w:rsid w:val="314B5736"/>
    <w:rsid w:val="314D77BE"/>
    <w:rsid w:val="314E12FC"/>
    <w:rsid w:val="314E691D"/>
    <w:rsid w:val="314F1BC2"/>
    <w:rsid w:val="31532D34"/>
    <w:rsid w:val="31542076"/>
    <w:rsid w:val="315471D8"/>
    <w:rsid w:val="31557223"/>
    <w:rsid w:val="31564155"/>
    <w:rsid w:val="3160288C"/>
    <w:rsid w:val="31653193"/>
    <w:rsid w:val="316F5DC0"/>
    <w:rsid w:val="317C04DD"/>
    <w:rsid w:val="317F59BA"/>
    <w:rsid w:val="318900D8"/>
    <w:rsid w:val="318A6B6F"/>
    <w:rsid w:val="318B6972"/>
    <w:rsid w:val="31923936"/>
    <w:rsid w:val="3195334D"/>
    <w:rsid w:val="31992E3D"/>
    <w:rsid w:val="31A0241D"/>
    <w:rsid w:val="31A03130"/>
    <w:rsid w:val="31A55C86"/>
    <w:rsid w:val="31A7005F"/>
    <w:rsid w:val="31A7181A"/>
    <w:rsid w:val="31A74402"/>
    <w:rsid w:val="31B3287A"/>
    <w:rsid w:val="31B47C77"/>
    <w:rsid w:val="31B77767"/>
    <w:rsid w:val="31BB1005"/>
    <w:rsid w:val="31BF55ED"/>
    <w:rsid w:val="31C003CA"/>
    <w:rsid w:val="31C1591F"/>
    <w:rsid w:val="31C60119"/>
    <w:rsid w:val="31C75BFC"/>
    <w:rsid w:val="31CA1248"/>
    <w:rsid w:val="31CD0D39"/>
    <w:rsid w:val="31D03538"/>
    <w:rsid w:val="31D420C7"/>
    <w:rsid w:val="31D772B9"/>
    <w:rsid w:val="31D976DD"/>
    <w:rsid w:val="31E26C69"/>
    <w:rsid w:val="31E340B8"/>
    <w:rsid w:val="31E367AE"/>
    <w:rsid w:val="31E63BA8"/>
    <w:rsid w:val="31E77F3D"/>
    <w:rsid w:val="31EC7411"/>
    <w:rsid w:val="31EF5990"/>
    <w:rsid w:val="31EF6F01"/>
    <w:rsid w:val="31F74619"/>
    <w:rsid w:val="31FA6B12"/>
    <w:rsid w:val="31FE3144"/>
    <w:rsid w:val="32002EBC"/>
    <w:rsid w:val="32052100"/>
    <w:rsid w:val="320A55AA"/>
    <w:rsid w:val="320C1573"/>
    <w:rsid w:val="320D55D9"/>
    <w:rsid w:val="320D7387"/>
    <w:rsid w:val="320E382B"/>
    <w:rsid w:val="32117BF5"/>
    <w:rsid w:val="32150005"/>
    <w:rsid w:val="321921D0"/>
    <w:rsid w:val="321F28F3"/>
    <w:rsid w:val="32317519"/>
    <w:rsid w:val="32320C34"/>
    <w:rsid w:val="32332FDC"/>
    <w:rsid w:val="3236068C"/>
    <w:rsid w:val="323C7A62"/>
    <w:rsid w:val="324059AE"/>
    <w:rsid w:val="32462588"/>
    <w:rsid w:val="324648DF"/>
    <w:rsid w:val="3251196A"/>
    <w:rsid w:val="32525356"/>
    <w:rsid w:val="32553A33"/>
    <w:rsid w:val="32650D54"/>
    <w:rsid w:val="32672F3B"/>
    <w:rsid w:val="32674CE9"/>
    <w:rsid w:val="326A2A2B"/>
    <w:rsid w:val="32720159"/>
    <w:rsid w:val="3276317E"/>
    <w:rsid w:val="327F2033"/>
    <w:rsid w:val="328757FC"/>
    <w:rsid w:val="328E671A"/>
    <w:rsid w:val="32985AFA"/>
    <w:rsid w:val="329A6E6D"/>
    <w:rsid w:val="32A25D21"/>
    <w:rsid w:val="32A47CEB"/>
    <w:rsid w:val="32A93554"/>
    <w:rsid w:val="32A9531F"/>
    <w:rsid w:val="32AA0FAB"/>
    <w:rsid w:val="32AF05C9"/>
    <w:rsid w:val="32B309E8"/>
    <w:rsid w:val="32B36180"/>
    <w:rsid w:val="32C1232D"/>
    <w:rsid w:val="32C43EEA"/>
    <w:rsid w:val="32D648FA"/>
    <w:rsid w:val="32D87995"/>
    <w:rsid w:val="32DA195F"/>
    <w:rsid w:val="32DB6E54"/>
    <w:rsid w:val="32DD31FD"/>
    <w:rsid w:val="32E427DE"/>
    <w:rsid w:val="32E93950"/>
    <w:rsid w:val="32EC02F3"/>
    <w:rsid w:val="32EF7D87"/>
    <w:rsid w:val="32F36B60"/>
    <w:rsid w:val="32F50430"/>
    <w:rsid w:val="32F83B93"/>
    <w:rsid w:val="32FA4B63"/>
    <w:rsid w:val="32FD11AA"/>
    <w:rsid w:val="33036B67"/>
    <w:rsid w:val="33041FBD"/>
    <w:rsid w:val="33072028"/>
    <w:rsid w:val="33092244"/>
    <w:rsid w:val="33136C1F"/>
    <w:rsid w:val="33152997"/>
    <w:rsid w:val="331644B4"/>
    <w:rsid w:val="331C63CE"/>
    <w:rsid w:val="3321133C"/>
    <w:rsid w:val="332605FB"/>
    <w:rsid w:val="33264BA4"/>
    <w:rsid w:val="332727DC"/>
    <w:rsid w:val="33274478"/>
    <w:rsid w:val="332826CA"/>
    <w:rsid w:val="332901F1"/>
    <w:rsid w:val="332C31C6"/>
    <w:rsid w:val="333042FD"/>
    <w:rsid w:val="3333106F"/>
    <w:rsid w:val="333948D8"/>
    <w:rsid w:val="333B5FF2"/>
    <w:rsid w:val="33435756"/>
    <w:rsid w:val="33437504"/>
    <w:rsid w:val="33484B1B"/>
    <w:rsid w:val="33485296"/>
    <w:rsid w:val="334B0167"/>
    <w:rsid w:val="334B7D2D"/>
    <w:rsid w:val="334E436C"/>
    <w:rsid w:val="3351308C"/>
    <w:rsid w:val="335334BF"/>
    <w:rsid w:val="33533DD3"/>
    <w:rsid w:val="33551BDE"/>
    <w:rsid w:val="33574D5E"/>
    <w:rsid w:val="33591AC7"/>
    <w:rsid w:val="335A484E"/>
    <w:rsid w:val="335C010C"/>
    <w:rsid w:val="335F1E64"/>
    <w:rsid w:val="336C4FAF"/>
    <w:rsid w:val="336D4581"/>
    <w:rsid w:val="33723946"/>
    <w:rsid w:val="33752E8A"/>
    <w:rsid w:val="337A00EE"/>
    <w:rsid w:val="337C3932"/>
    <w:rsid w:val="337E053C"/>
    <w:rsid w:val="3382300D"/>
    <w:rsid w:val="338418CB"/>
    <w:rsid w:val="33865643"/>
    <w:rsid w:val="33890C8F"/>
    <w:rsid w:val="338955AE"/>
    <w:rsid w:val="33896EE1"/>
    <w:rsid w:val="338B2EDC"/>
    <w:rsid w:val="339A2E9C"/>
    <w:rsid w:val="339A4C4A"/>
    <w:rsid w:val="33A06705"/>
    <w:rsid w:val="33A361F5"/>
    <w:rsid w:val="33A61CF1"/>
    <w:rsid w:val="33A8380B"/>
    <w:rsid w:val="33A97881"/>
    <w:rsid w:val="33AA27C0"/>
    <w:rsid w:val="33AD0E3E"/>
    <w:rsid w:val="33B31A16"/>
    <w:rsid w:val="33BA4F22"/>
    <w:rsid w:val="33BB353F"/>
    <w:rsid w:val="33C02A03"/>
    <w:rsid w:val="33C04743"/>
    <w:rsid w:val="33C642A6"/>
    <w:rsid w:val="33CD5020"/>
    <w:rsid w:val="33CD707A"/>
    <w:rsid w:val="33CF0D98"/>
    <w:rsid w:val="33D00737"/>
    <w:rsid w:val="33EA5BD2"/>
    <w:rsid w:val="33F3779B"/>
    <w:rsid w:val="33F46A50"/>
    <w:rsid w:val="33F56325"/>
    <w:rsid w:val="33F702EF"/>
    <w:rsid w:val="33F95D59"/>
    <w:rsid w:val="34036C94"/>
    <w:rsid w:val="34065BEE"/>
    <w:rsid w:val="34092494"/>
    <w:rsid w:val="340D26DB"/>
    <w:rsid w:val="341048D3"/>
    <w:rsid w:val="341113B0"/>
    <w:rsid w:val="34126ED7"/>
    <w:rsid w:val="34142C4F"/>
    <w:rsid w:val="341628BB"/>
    <w:rsid w:val="341901A0"/>
    <w:rsid w:val="34246155"/>
    <w:rsid w:val="342B441D"/>
    <w:rsid w:val="342D3D10"/>
    <w:rsid w:val="342F5CDB"/>
    <w:rsid w:val="3432564F"/>
    <w:rsid w:val="3434509F"/>
    <w:rsid w:val="34362BC5"/>
    <w:rsid w:val="343B7960"/>
    <w:rsid w:val="34446592"/>
    <w:rsid w:val="344A3282"/>
    <w:rsid w:val="344C23E9"/>
    <w:rsid w:val="34530996"/>
    <w:rsid w:val="3454249E"/>
    <w:rsid w:val="345B1DF1"/>
    <w:rsid w:val="345E15BF"/>
    <w:rsid w:val="34677131"/>
    <w:rsid w:val="346E05B1"/>
    <w:rsid w:val="346F4298"/>
    <w:rsid w:val="34761214"/>
    <w:rsid w:val="34784F8C"/>
    <w:rsid w:val="34790D04"/>
    <w:rsid w:val="347D25A2"/>
    <w:rsid w:val="34801D8D"/>
    <w:rsid w:val="34817C3D"/>
    <w:rsid w:val="34821230"/>
    <w:rsid w:val="34873421"/>
    <w:rsid w:val="348778C5"/>
    <w:rsid w:val="34906DAF"/>
    <w:rsid w:val="349074EA"/>
    <w:rsid w:val="3491429F"/>
    <w:rsid w:val="3498562E"/>
    <w:rsid w:val="349D4FF2"/>
    <w:rsid w:val="349F69BC"/>
    <w:rsid w:val="34AC3940"/>
    <w:rsid w:val="34B00BC9"/>
    <w:rsid w:val="34B1049E"/>
    <w:rsid w:val="34B915AE"/>
    <w:rsid w:val="34C91C8B"/>
    <w:rsid w:val="34C957E7"/>
    <w:rsid w:val="34CC6788"/>
    <w:rsid w:val="34CD2AC4"/>
    <w:rsid w:val="34CE2DFE"/>
    <w:rsid w:val="34CE54F3"/>
    <w:rsid w:val="34D35DEE"/>
    <w:rsid w:val="34DB0B91"/>
    <w:rsid w:val="34DC3B27"/>
    <w:rsid w:val="34DD1293"/>
    <w:rsid w:val="34E15227"/>
    <w:rsid w:val="34E627D2"/>
    <w:rsid w:val="34E70C0C"/>
    <w:rsid w:val="34EF0FC6"/>
    <w:rsid w:val="34F12F90"/>
    <w:rsid w:val="34F32864"/>
    <w:rsid w:val="350157D3"/>
    <w:rsid w:val="35024FE5"/>
    <w:rsid w:val="35026F4B"/>
    <w:rsid w:val="350E769E"/>
    <w:rsid w:val="351232E0"/>
    <w:rsid w:val="35147329"/>
    <w:rsid w:val="35160353"/>
    <w:rsid w:val="351B1DBB"/>
    <w:rsid w:val="351C1E99"/>
    <w:rsid w:val="351F5D4F"/>
    <w:rsid w:val="35284C04"/>
    <w:rsid w:val="35363BD7"/>
    <w:rsid w:val="35366BF5"/>
    <w:rsid w:val="35373099"/>
    <w:rsid w:val="35380BBF"/>
    <w:rsid w:val="353B7007"/>
    <w:rsid w:val="353D0BEF"/>
    <w:rsid w:val="355157DD"/>
    <w:rsid w:val="35535622"/>
    <w:rsid w:val="35586B6B"/>
    <w:rsid w:val="355C2AFF"/>
    <w:rsid w:val="355C48AD"/>
    <w:rsid w:val="355F559B"/>
    <w:rsid w:val="35610786"/>
    <w:rsid w:val="35673330"/>
    <w:rsid w:val="35683252"/>
    <w:rsid w:val="356E2833"/>
    <w:rsid w:val="35725E7F"/>
    <w:rsid w:val="35733F93"/>
    <w:rsid w:val="35740227"/>
    <w:rsid w:val="3574290A"/>
    <w:rsid w:val="35773495"/>
    <w:rsid w:val="3577733A"/>
    <w:rsid w:val="3578786B"/>
    <w:rsid w:val="3579545F"/>
    <w:rsid w:val="357D2234"/>
    <w:rsid w:val="35843E04"/>
    <w:rsid w:val="35851816"/>
    <w:rsid w:val="3586164D"/>
    <w:rsid w:val="35867B7C"/>
    <w:rsid w:val="35873475"/>
    <w:rsid w:val="35883852"/>
    <w:rsid w:val="35887450"/>
    <w:rsid w:val="3590666E"/>
    <w:rsid w:val="359A3628"/>
    <w:rsid w:val="359B4A74"/>
    <w:rsid w:val="359F29EC"/>
    <w:rsid w:val="35A01EAC"/>
    <w:rsid w:val="35A16476"/>
    <w:rsid w:val="35A26038"/>
    <w:rsid w:val="35A3072E"/>
    <w:rsid w:val="35A6064A"/>
    <w:rsid w:val="35A61FCC"/>
    <w:rsid w:val="35AA2DFB"/>
    <w:rsid w:val="35B75F88"/>
    <w:rsid w:val="35BC70FA"/>
    <w:rsid w:val="35BD1BAF"/>
    <w:rsid w:val="35C0308E"/>
    <w:rsid w:val="35C31285"/>
    <w:rsid w:val="35C47A80"/>
    <w:rsid w:val="35CC0677"/>
    <w:rsid w:val="35CF6FF8"/>
    <w:rsid w:val="35D168AE"/>
    <w:rsid w:val="35DC59EE"/>
    <w:rsid w:val="35DF4AB2"/>
    <w:rsid w:val="35E054DE"/>
    <w:rsid w:val="35E4567F"/>
    <w:rsid w:val="35E81FAA"/>
    <w:rsid w:val="35EF5062"/>
    <w:rsid w:val="35EF74CF"/>
    <w:rsid w:val="35F04FF6"/>
    <w:rsid w:val="35F139ED"/>
    <w:rsid w:val="35F451EB"/>
    <w:rsid w:val="35FE5964"/>
    <w:rsid w:val="360447FA"/>
    <w:rsid w:val="360474D5"/>
    <w:rsid w:val="36081906"/>
    <w:rsid w:val="36082996"/>
    <w:rsid w:val="360B0081"/>
    <w:rsid w:val="360D204B"/>
    <w:rsid w:val="360F1920"/>
    <w:rsid w:val="36105698"/>
    <w:rsid w:val="36145188"/>
    <w:rsid w:val="361F6C63"/>
    <w:rsid w:val="36257395"/>
    <w:rsid w:val="362640DA"/>
    <w:rsid w:val="362675C3"/>
    <w:rsid w:val="362A0508"/>
    <w:rsid w:val="362A49AB"/>
    <w:rsid w:val="363636C5"/>
    <w:rsid w:val="36394BEF"/>
    <w:rsid w:val="36415851"/>
    <w:rsid w:val="36450152"/>
    <w:rsid w:val="365612FD"/>
    <w:rsid w:val="36590DED"/>
    <w:rsid w:val="365B4B65"/>
    <w:rsid w:val="36633A19"/>
    <w:rsid w:val="3666704C"/>
    <w:rsid w:val="36716136"/>
    <w:rsid w:val="36727F58"/>
    <w:rsid w:val="36761943"/>
    <w:rsid w:val="36815C6B"/>
    <w:rsid w:val="36874625"/>
    <w:rsid w:val="368A544A"/>
    <w:rsid w:val="368A71F8"/>
    <w:rsid w:val="368F65D6"/>
    <w:rsid w:val="36B424C7"/>
    <w:rsid w:val="36B95C92"/>
    <w:rsid w:val="36BA0A10"/>
    <w:rsid w:val="36BA2CB9"/>
    <w:rsid w:val="36C46BAE"/>
    <w:rsid w:val="36C929A5"/>
    <w:rsid w:val="36CA03D1"/>
    <w:rsid w:val="36CE17DB"/>
    <w:rsid w:val="36CE41AD"/>
    <w:rsid w:val="36CE5337"/>
    <w:rsid w:val="36D668E1"/>
    <w:rsid w:val="36D72B0F"/>
    <w:rsid w:val="36DD1A1E"/>
    <w:rsid w:val="36E56643"/>
    <w:rsid w:val="36EC3A0F"/>
    <w:rsid w:val="36EC7EB3"/>
    <w:rsid w:val="36F01751"/>
    <w:rsid w:val="36F6663C"/>
    <w:rsid w:val="36F670E1"/>
    <w:rsid w:val="36FA196A"/>
    <w:rsid w:val="36FA437E"/>
    <w:rsid w:val="3700570C"/>
    <w:rsid w:val="37017685"/>
    <w:rsid w:val="37024FE0"/>
    <w:rsid w:val="370D403E"/>
    <w:rsid w:val="370E4938"/>
    <w:rsid w:val="37117919"/>
    <w:rsid w:val="37123663"/>
    <w:rsid w:val="37166CDE"/>
    <w:rsid w:val="371946B4"/>
    <w:rsid w:val="371A717A"/>
    <w:rsid w:val="37215AD5"/>
    <w:rsid w:val="372238D5"/>
    <w:rsid w:val="3724764D"/>
    <w:rsid w:val="37250E6C"/>
    <w:rsid w:val="37256F21"/>
    <w:rsid w:val="37262BB0"/>
    <w:rsid w:val="372829AD"/>
    <w:rsid w:val="37296F8A"/>
    <w:rsid w:val="372B09DB"/>
    <w:rsid w:val="37305FF2"/>
    <w:rsid w:val="37310D19"/>
    <w:rsid w:val="3736437C"/>
    <w:rsid w:val="374675C3"/>
    <w:rsid w:val="37482E7B"/>
    <w:rsid w:val="374C667F"/>
    <w:rsid w:val="37516F3A"/>
    <w:rsid w:val="37520C87"/>
    <w:rsid w:val="37531919"/>
    <w:rsid w:val="37533DBC"/>
    <w:rsid w:val="37545336"/>
    <w:rsid w:val="37587F0C"/>
    <w:rsid w:val="375D490D"/>
    <w:rsid w:val="37617675"/>
    <w:rsid w:val="37621F23"/>
    <w:rsid w:val="37645C9B"/>
    <w:rsid w:val="37661A13"/>
    <w:rsid w:val="376712E7"/>
    <w:rsid w:val="376723A9"/>
    <w:rsid w:val="376822D6"/>
    <w:rsid w:val="37695060"/>
    <w:rsid w:val="376D2DA2"/>
    <w:rsid w:val="37712049"/>
    <w:rsid w:val="377203B8"/>
    <w:rsid w:val="37734130"/>
    <w:rsid w:val="37735EDE"/>
    <w:rsid w:val="377E6B8B"/>
    <w:rsid w:val="378372D4"/>
    <w:rsid w:val="37847DD8"/>
    <w:rsid w:val="378E4AC6"/>
    <w:rsid w:val="3790083E"/>
    <w:rsid w:val="379540A7"/>
    <w:rsid w:val="37982C95"/>
    <w:rsid w:val="37991DE9"/>
    <w:rsid w:val="379F4F25"/>
    <w:rsid w:val="37A036E8"/>
    <w:rsid w:val="37A10B08"/>
    <w:rsid w:val="37A2036F"/>
    <w:rsid w:val="37A20571"/>
    <w:rsid w:val="37A333EE"/>
    <w:rsid w:val="37A55B31"/>
    <w:rsid w:val="37A930C7"/>
    <w:rsid w:val="37AB38CA"/>
    <w:rsid w:val="37AB7CB3"/>
    <w:rsid w:val="37AE3D15"/>
    <w:rsid w:val="37B207B5"/>
    <w:rsid w:val="37B34F16"/>
    <w:rsid w:val="37B76358"/>
    <w:rsid w:val="37BE184F"/>
    <w:rsid w:val="37C45CE7"/>
    <w:rsid w:val="37C8447C"/>
    <w:rsid w:val="37CD325B"/>
    <w:rsid w:val="37D03331"/>
    <w:rsid w:val="37D526F5"/>
    <w:rsid w:val="37DB0E86"/>
    <w:rsid w:val="37E22DB7"/>
    <w:rsid w:val="37ED3EE3"/>
    <w:rsid w:val="37EE37B7"/>
    <w:rsid w:val="37F60FE9"/>
    <w:rsid w:val="37F963E3"/>
    <w:rsid w:val="37FA03AE"/>
    <w:rsid w:val="380319CC"/>
    <w:rsid w:val="38084878"/>
    <w:rsid w:val="380D409F"/>
    <w:rsid w:val="38156F95"/>
    <w:rsid w:val="381919D8"/>
    <w:rsid w:val="38192517"/>
    <w:rsid w:val="381E1315"/>
    <w:rsid w:val="381F76DE"/>
    <w:rsid w:val="38207E14"/>
    <w:rsid w:val="38213B8C"/>
    <w:rsid w:val="38264AC9"/>
    <w:rsid w:val="382A2A41"/>
    <w:rsid w:val="382B0567"/>
    <w:rsid w:val="3832266B"/>
    <w:rsid w:val="38383CCB"/>
    <w:rsid w:val="38384286"/>
    <w:rsid w:val="383C3149"/>
    <w:rsid w:val="383F3956"/>
    <w:rsid w:val="38402264"/>
    <w:rsid w:val="38465E8E"/>
    <w:rsid w:val="384855BD"/>
    <w:rsid w:val="384B0C09"/>
    <w:rsid w:val="384B6D59"/>
    <w:rsid w:val="384C426D"/>
    <w:rsid w:val="38521F98"/>
    <w:rsid w:val="385239EE"/>
    <w:rsid w:val="385C4BC4"/>
    <w:rsid w:val="385C6972"/>
    <w:rsid w:val="3862042D"/>
    <w:rsid w:val="38652844"/>
    <w:rsid w:val="38663D8A"/>
    <w:rsid w:val="38740160"/>
    <w:rsid w:val="3875011D"/>
    <w:rsid w:val="387D5D71"/>
    <w:rsid w:val="388471E0"/>
    <w:rsid w:val="38895E59"/>
    <w:rsid w:val="38910D12"/>
    <w:rsid w:val="38934A8A"/>
    <w:rsid w:val="38975E49"/>
    <w:rsid w:val="38983E4E"/>
    <w:rsid w:val="38991974"/>
    <w:rsid w:val="38A24CCD"/>
    <w:rsid w:val="38A327F3"/>
    <w:rsid w:val="38A547BD"/>
    <w:rsid w:val="38A824AD"/>
    <w:rsid w:val="38AC145D"/>
    <w:rsid w:val="38B8430E"/>
    <w:rsid w:val="38B86D83"/>
    <w:rsid w:val="38BD5663"/>
    <w:rsid w:val="38C118E6"/>
    <w:rsid w:val="38C24015"/>
    <w:rsid w:val="38C7653B"/>
    <w:rsid w:val="38C904AC"/>
    <w:rsid w:val="38CA5FD2"/>
    <w:rsid w:val="38D34C9F"/>
    <w:rsid w:val="38D34E86"/>
    <w:rsid w:val="38DE4CEB"/>
    <w:rsid w:val="38E4489E"/>
    <w:rsid w:val="38E452E6"/>
    <w:rsid w:val="38E93B09"/>
    <w:rsid w:val="38EA6674"/>
    <w:rsid w:val="38EE7F12"/>
    <w:rsid w:val="38F0217A"/>
    <w:rsid w:val="38F2046B"/>
    <w:rsid w:val="38F372D7"/>
    <w:rsid w:val="38FD1F03"/>
    <w:rsid w:val="39007C46"/>
    <w:rsid w:val="3902576C"/>
    <w:rsid w:val="3905700A"/>
    <w:rsid w:val="390A2872"/>
    <w:rsid w:val="390C0398"/>
    <w:rsid w:val="3914549F"/>
    <w:rsid w:val="39203E44"/>
    <w:rsid w:val="39225E0E"/>
    <w:rsid w:val="3923661C"/>
    <w:rsid w:val="39246348"/>
    <w:rsid w:val="39253208"/>
    <w:rsid w:val="392554E4"/>
    <w:rsid w:val="392576AC"/>
    <w:rsid w:val="39294C83"/>
    <w:rsid w:val="39331DC9"/>
    <w:rsid w:val="39367121"/>
    <w:rsid w:val="393671C3"/>
    <w:rsid w:val="393B33B7"/>
    <w:rsid w:val="393D2C48"/>
    <w:rsid w:val="393D6016"/>
    <w:rsid w:val="39400259"/>
    <w:rsid w:val="39442603"/>
    <w:rsid w:val="39450BE9"/>
    <w:rsid w:val="39475874"/>
    <w:rsid w:val="39477622"/>
    <w:rsid w:val="394D2D0D"/>
    <w:rsid w:val="394F0285"/>
    <w:rsid w:val="395104A1"/>
    <w:rsid w:val="395744B6"/>
    <w:rsid w:val="39641F82"/>
    <w:rsid w:val="39657AA9"/>
    <w:rsid w:val="396D17C5"/>
    <w:rsid w:val="396E4BAF"/>
    <w:rsid w:val="397906FB"/>
    <w:rsid w:val="397C7BBA"/>
    <w:rsid w:val="39861EF9"/>
    <w:rsid w:val="3986639D"/>
    <w:rsid w:val="398E320A"/>
    <w:rsid w:val="39912850"/>
    <w:rsid w:val="39924D42"/>
    <w:rsid w:val="399A046A"/>
    <w:rsid w:val="399A185A"/>
    <w:rsid w:val="399D46D3"/>
    <w:rsid w:val="399F143D"/>
    <w:rsid w:val="399F475D"/>
    <w:rsid w:val="399F551B"/>
    <w:rsid w:val="39A97015"/>
    <w:rsid w:val="39AA3728"/>
    <w:rsid w:val="39AC56D7"/>
    <w:rsid w:val="39AE76A2"/>
    <w:rsid w:val="39BB6404"/>
    <w:rsid w:val="39C20293"/>
    <w:rsid w:val="39CA6372"/>
    <w:rsid w:val="39CB0253"/>
    <w:rsid w:val="39CB4271"/>
    <w:rsid w:val="39CB4AF3"/>
    <w:rsid w:val="39D4535A"/>
    <w:rsid w:val="39D45FD4"/>
    <w:rsid w:val="39D464EB"/>
    <w:rsid w:val="39D9060B"/>
    <w:rsid w:val="39DC7569"/>
    <w:rsid w:val="39DC7D6B"/>
    <w:rsid w:val="39E409B6"/>
    <w:rsid w:val="39F23A32"/>
    <w:rsid w:val="39F33306"/>
    <w:rsid w:val="39FE23D7"/>
    <w:rsid w:val="39FE4185"/>
    <w:rsid w:val="3A0704A8"/>
    <w:rsid w:val="3A0852E5"/>
    <w:rsid w:val="3A0B5EA1"/>
    <w:rsid w:val="3A0D3149"/>
    <w:rsid w:val="3A0F6392"/>
    <w:rsid w:val="3A105C66"/>
    <w:rsid w:val="3A1514CF"/>
    <w:rsid w:val="3A1C0AAF"/>
    <w:rsid w:val="3A1F234D"/>
    <w:rsid w:val="3A2324FB"/>
    <w:rsid w:val="3A26189D"/>
    <w:rsid w:val="3A2636DC"/>
    <w:rsid w:val="3A26548A"/>
    <w:rsid w:val="3A283A8F"/>
    <w:rsid w:val="3A2A1E7D"/>
    <w:rsid w:val="3A2B516C"/>
    <w:rsid w:val="3A2F6046"/>
    <w:rsid w:val="3A2F6108"/>
    <w:rsid w:val="3A30185C"/>
    <w:rsid w:val="3A303900"/>
    <w:rsid w:val="3A3146AF"/>
    <w:rsid w:val="3A325BDD"/>
    <w:rsid w:val="3A366067"/>
    <w:rsid w:val="3A383007"/>
    <w:rsid w:val="3A3A0F35"/>
    <w:rsid w:val="3A3C3AC3"/>
    <w:rsid w:val="3A3E4582"/>
    <w:rsid w:val="3A4122C4"/>
    <w:rsid w:val="3A4818A4"/>
    <w:rsid w:val="3A4D181F"/>
    <w:rsid w:val="3A4D2A17"/>
    <w:rsid w:val="3A4F5327"/>
    <w:rsid w:val="3A4F7367"/>
    <w:rsid w:val="3A500759"/>
    <w:rsid w:val="3A517056"/>
    <w:rsid w:val="3A524C79"/>
    <w:rsid w:val="3A5C6294"/>
    <w:rsid w:val="3A5E2E76"/>
    <w:rsid w:val="3A614910"/>
    <w:rsid w:val="3A631C0B"/>
    <w:rsid w:val="3A6A7A6C"/>
    <w:rsid w:val="3A6B7341"/>
    <w:rsid w:val="3A6E6F72"/>
    <w:rsid w:val="3A77206C"/>
    <w:rsid w:val="3A780579"/>
    <w:rsid w:val="3A796F18"/>
    <w:rsid w:val="3A7E52C6"/>
    <w:rsid w:val="3A816B64"/>
    <w:rsid w:val="3A843816"/>
    <w:rsid w:val="3A850402"/>
    <w:rsid w:val="3A880612"/>
    <w:rsid w:val="3A891A84"/>
    <w:rsid w:val="3A8B5D8B"/>
    <w:rsid w:val="3A9248CD"/>
    <w:rsid w:val="3A9573CF"/>
    <w:rsid w:val="3A971CBC"/>
    <w:rsid w:val="3AA14760"/>
    <w:rsid w:val="3AA50AA5"/>
    <w:rsid w:val="3AA92EF2"/>
    <w:rsid w:val="3AAA7E69"/>
    <w:rsid w:val="3AAB5AD4"/>
    <w:rsid w:val="3AB74334"/>
    <w:rsid w:val="3AB916A4"/>
    <w:rsid w:val="3AB97C71"/>
    <w:rsid w:val="3ABE297E"/>
    <w:rsid w:val="3AC23BAE"/>
    <w:rsid w:val="3AC32CD9"/>
    <w:rsid w:val="3AC71449"/>
    <w:rsid w:val="3AD4138A"/>
    <w:rsid w:val="3AD44EE6"/>
    <w:rsid w:val="3AD51971"/>
    <w:rsid w:val="3AE570F3"/>
    <w:rsid w:val="3AE94550"/>
    <w:rsid w:val="3AF410E4"/>
    <w:rsid w:val="3AF64E5C"/>
    <w:rsid w:val="3B005CDB"/>
    <w:rsid w:val="3B0357CB"/>
    <w:rsid w:val="3B0436B7"/>
    <w:rsid w:val="3B077069"/>
    <w:rsid w:val="3B0A4219"/>
    <w:rsid w:val="3B0B6B11"/>
    <w:rsid w:val="3B1A58D2"/>
    <w:rsid w:val="3B24160A"/>
    <w:rsid w:val="3B2E2848"/>
    <w:rsid w:val="3B323F9F"/>
    <w:rsid w:val="3B3754FB"/>
    <w:rsid w:val="3B3911ED"/>
    <w:rsid w:val="3B39480A"/>
    <w:rsid w:val="3B435518"/>
    <w:rsid w:val="3B4402BD"/>
    <w:rsid w:val="3B497682"/>
    <w:rsid w:val="3B4A1BD1"/>
    <w:rsid w:val="3B542300"/>
    <w:rsid w:val="3B583D69"/>
    <w:rsid w:val="3B595CC5"/>
    <w:rsid w:val="3B6273BD"/>
    <w:rsid w:val="3B670527"/>
    <w:rsid w:val="3B6A5634"/>
    <w:rsid w:val="3B6B3A9C"/>
    <w:rsid w:val="3B6F4C0F"/>
    <w:rsid w:val="3B756BB3"/>
    <w:rsid w:val="3B76669E"/>
    <w:rsid w:val="3B7E41CF"/>
    <w:rsid w:val="3B822B94"/>
    <w:rsid w:val="3B851BB1"/>
    <w:rsid w:val="3B8561E0"/>
    <w:rsid w:val="3B8763FC"/>
    <w:rsid w:val="3B8B4233"/>
    <w:rsid w:val="3B8D126C"/>
    <w:rsid w:val="3B8E778B"/>
    <w:rsid w:val="3B907739"/>
    <w:rsid w:val="3B911029"/>
    <w:rsid w:val="3B9A1C8B"/>
    <w:rsid w:val="3B9B4096"/>
    <w:rsid w:val="3B9C3C56"/>
    <w:rsid w:val="3BA174BE"/>
    <w:rsid w:val="3BA673E1"/>
    <w:rsid w:val="3BA7084C"/>
    <w:rsid w:val="3BB60D56"/>
    <w:rsid w:val="3BB70A8F"/>
    <w:rsid w:val="3BBA232E"/>
    <w:rsid w:val="3BBD1E1E"/>
    <w:rsid w:val="3BC367C1"/>
    <w:rsid w:val="3BC60CD2"/>
    <w:rsid w:val="3BD01B51"/>
    <w:rsid w:val="3BDD601C"/>
    <w:rsid w:val="3BE07CE6"/>
    <w:rsid w:val="3BE23632"/>
    <w:rsid w:val="3BEE647B"/>
    <w:rsid w:val="3BF21AC7"/>
    <w:rsid w:val="3BF50424"/>
    <w:rsid w:val="3BF515B8"/>
    <w:rsid w:val="3BF82E56"/>
    <w:rsid w:val="3BFA6BCE"/>
    <w:rsid w:val="3BFE1B26"/>
    <w:rsid w:val="3C0161AE"/>
    <w:rsid w:val="3C0273B0"/>
    <w:rsid w:val="3C062BE4"/>
    <w:rsid w:val="3C065573"/>
    <w:rsid w:val="3C112FDA"/>
    <w:rsid w:val="3C122D5C"/>
    <w:rsid w:val="3C1F3408"/>
    <w:rsid w:val="3C204082"/>
    <w:rsid w:val="3C2123AD"/>
    <w:rsid w:val="3C261771"/>
    <w:rsid w:val="3C2E183A"/>
    <w:rsid w:val="3C3510BC"/>
    <w:rsid w:val="3C3A346E"/>
    <w:rsid w:val="3C430575"/>
    <w:rsid w:val="3C432323"/>
    <w:rsid w:val="3C463BC1"/>
    <w:rsid w:val="3C467296"/>
    <w:rsid w:val="3C495460"/>
    <w:rsid w:val="3C5207B8"/>
    <w:rsid w:val="3C607448"/>
    <w:rsid w:val="3C631654"/>
    <w:rsid w:val="3C642299"/>
    <w:rsid w:val="3C65673D"/>
    <w:rsid w:val="3C664C2F"/>
    <w:rsid w:val="3C6779A4"/>
    <w:rsid w:val="3C6A2CAC"/>
    <w:rsid w:val="3C6D55F2"/>
    <w:rsid w:val="3C6D73A0"/>
    <w:rsid w:val="3C740E6B"/>
    <w:rsid w:val="3C7A4B14"/>
    <w:rsid w:val="3C7B5B5E"/>
    <w:rsid w:val="3C812640"/>
    <w:rsid w:val="3C836BC3"/>
    <w:rsid w:val="3C860462"/>
    <w:rsid w:val="3C885F88"/>
    <w:rsid w:val="3C902ADB"/>
    <w:rsid w:val="3C9C1A33"/>
    <w:rsid w:val="3CA8662A"/>
    <w:rsid w:val="3CAA05F4"/>
    <w:rsid w:val="3CAB1C76"/>
    <w:rsid w:val="3CB13731"/>
    <w:rsid w:val="3CB44FCF"/>
    <w:rsid w:val="3CB90837"/>
    <w:rsid w:val="3CBE154C"/>
    <w:rsid w:val="3CC11CFC"/>
    <w:rsid w:val="3CC50F8A"/>
    <w:rsid w:val="3CC7039F"/>
    <w:rsid w:val="3CCA47F2"/>
    <w:rsid w:val="3CD23F75"/>
    <w:rsid w:val="3CD45671"/>
    <w:rsid w:val="3CD4741F"/>
    <w:rsid w:val="3CD752D2"/>
    <w:rsid w:val="3CD857FF"/>
    <w:rsid w:val="3CDA2957"/>
    <w:rsid w:val="3CDB07AE"/>
    <w:rsid w:val="3CE21B3C"/>
    <w:rsid w:val="3CED6632"/>
    <w:rsid w:val="3CF50999"/>
    <w:rsid w:val="3D0575D8"/>
    <w:rsid w:val="3D09183E"/>
    <w:rsid w:val="3D115F7D"/>
    <w:rsid w:val="3D145A6E"/>
    <w:rsid w:val="3D1C4922"/>
    <w:rsid w:val="3D2110D2"/>
    <w:rsid w:val="3D2263DC"/>
    <w:rsid w:val="3D246B8E"/>
    <w:rsid w:val="3D256E1D"/>
    <w:rsid w:val="3D347473"/>
    <w:rsid w:val="3D3659E4"/>
    <w:rsid w:val="3D385C00"/>
    <w:rsid w:val="3D3E2AEA"/>
    <w:rsid w:val="3D3E4FFD"/>
    <w:rsid w:val="3D42082D"/>
    <w:rsid w:val="3D451595"/>
    <w:rsid w:val="3D4C1FB7"/>
    <w:rsid w:val="3D4E0F7F"/>
    <w:rsid w:val="3D524818"/>
    <w:rsid w:val="3D5347E8"/>
    <w:rsid w:val="3D5549D5"/>
    <w:rsid w:val="3D5D0297"/>
    <w:rsid w:val="3D6A1B31"/>
    <w:rsid w:val="3D6C7658"/>
    <w:rsid w:val="3D714C6E"/>
    <w:rsid w:val="3D74650C"/>
    <w:rsid w:val="3D7529B0"/>
    <w:rsid w:val="3D791D75"/>
    <w:rsid w:val="3D8C5F4C"/>
    <w:rsid w:val="3D8E3A72"/>
    <w:rsid w:val="3D930665"/>
    <w:rsid w:val="3DA768E2"/>
    <w:rsid w:val="3DA9265A"/>
    <w:rsid w:val="3DAB4624"/>
    <w:rsid w:val="3DB26E56"/>
    <w:rsid w:val="3DBA6615"/>
    <w:rsid w:val="3DBB413B"/>
    <w:rsid w:val="3DC076E2"/>
    <w:rsid w:val="3DC2196D"/>
    <w:rsid w:val="3DC41242"/>
    <w:rsid w:val="3DC41DA0"/>
    <w:rsid w:val="3DC57048"/>
    <w:rsid w:val="3DC6320C"/>
    <w:rsid w:val="3DD058BA"/>
    <w:rsid w:val="3DD13801"/>
    <w:rsid w:val="3DD16622"/>
    <w:rsid w:val="3DD27E02"/>
    <w:rsid w:val="3DD4523D"/>
    <w:rsid w:val="3DD86A9B"/>
    <w:rsid w:val="3DDA0A65"/>
    <w:rsid w:val="3DDA60B4"/>
    <w:rsid w:val="3DE77646"/>
    <w:rsid w:val="3DE96EFA"/>
    <w:rsid w:val="3DEB2C72"/>
    <w:rsid w:val="3DEB4A20"/>
    <w:rsid w:val="3DEB7BA8"/>
    <w:rsid w:val="3DFC5F1F"/>
    <w:rsid w:val="3E0012CD"/>
    <w:rsid w:val="3E012496"/>
    <w:rsid w:val="3E04505A"/>
    <w:rsid w:val="3E12779A"/>
    <w:rsid w:val="3E173A67"/>
    <w:rsid w:val="3E1F291C"/>
    <w:rsid w:val="3E241CE0"/>
    <w:rsid w:val="3E295549"/>
    <w:rsid w:val="3E2972F7"/>
    <w:rsid w:val="3E2A2399"/>
    <w:rsid w:val="3E2B12C1"/>
    <w:rsid w:val="3E371A14"/>
    <w:rsid w:val="3E3A10C4"/>
    <w:rsid w:val="3E416D36"/>
    <w:rsid w:val="3E432AAE"/>
    <w:rsid w:val="3E4B6094"/>
    <w:rsid w:val="3E4D03A6"/>
    <w:rsid w:val="3E4F3159"/>
    <w:rsid w:val="3E506F79"/>
    <w:rsid w:val="3E524A9F"/>
    <w:rsid w:val="3E5325C6"/>
    <w:rsid w:val="3E542365"/>
    <w:rsid w:val="3E571DC8"/>
    <w:rsid w:val="3E573A7D"/>
    <w:rsid w:val="3E5A7DF8"/>
    <w:rsid w:val="3E5C39F2"/>
    <w:rsid w:val="3E615D7F"/>
    <w:rsid w:val="3E637FF5"/>
    <w:rsid w:val="3E6546FF"/>
    <w:rsid w:val="3E6D18D9"/>
    <w:rsid w:val="3E6D7B2B"/>
    <w:rsid w:val="3E725142"/>
    <w:rsid w:val="3E733FED"/>
    <w:rsid w:val="3E765771"/>
    <w:rsid w:val="3E7762B4"/>
    <w:rsid w:val="3E790B82"/>
    <w:rsid w:val="3E7E3AE6"/>
    <w:rsid w:val="3E810EE1"/>
    <w:rsid w:val="3E846C23"/>
    <w:rsid w:val="3E8F1850"/>
    <w:rsid w:val="3E921340"/>
    <w:rsid w:val="3E9F43E7"/>
    <w:rsid w:val="3EA11583"/>
    <w:rsid w:val="3EA42E21"/>
    <w:rsid w:val="3EA80B63"/>
    <w:rsid w:val="3EAF3DED"/>
    <w:rsid w:val="3EB70DA6"/>
    <w:rsid w:val="3EBB17FA"/>
    <w:rsid w:val="3EBC6B3B"/>
    <w:rsid w:val="3EBE0387"/>
    <w:rsid w:val="3EC15781"/>
    <w:rsid w:val="3EC27CA4"/>
    <w:rsid w:val="3EC55271"/>
    <w:rsid w:val="3ED100BA"/>
    <w:rsid w:val="3ED21280"/>
    <w:rsid w:val="3ED454B4"/>
    <w:rsid w:val="3ED6747E"/>
    <w:rsid w:val="3EDC080D"/>
    <w:rsid w:val="3EE17BD1"/>
    <w:rsid w:val="3EE20EC5"/>
    <w:rsid w:val="3EE6343A"/>
    <w:rsid w:val="3EE84C99"/>
    <w:rsid w:val="3EE85575"/>
    <w:rsid w:val="3EEC42F9"/>
    <w:rsid w:val="3EED6576"/>
    <w:rsid w:val="3EF74BFE"/>
    <w:rsid w:val="3EF802EC"/>
    <w:rsid w:val="3EFE341D"/>
    <w:rsid w:val="3F0538C0"/>
    <w:rsid w:val="3F06107A"/>
    <w:rsid w:val="3F0833B0"/>
    <w:rsid w:val="3F0A537A"/>
    <w:rsid w:val="3F1540D8"/>
    <w:rsid w:val="3F18077C"/>
    <w:rsid w:val="3F1833F7"/>
    <w:rsid w:val="3F18649D"/>
    <w:rsid w:val="3F1B1335"/>
    <w:rsid w:val="3F23468E"/>
    <w:rsid w:val="3F2521B4"/>
    <w:rsid w:val="3F2D2E17"/>
    <w:rsid w:val="3F307AE9"/>
    <w:rsid w:val="3F3477B2"/>
    <w:rsid w:val="3F3F2D1F"/>
    <w:rsid w:val="3F400D9C"/>
    <w:rsid w:val="3F4144AC"/>
    <w:rsid w:val="3F4202EA"/>
    <w:rsid w:val="3F4261D6"/>
    <w:rsid w:val="3F466AAE"/>
    <w:rsid w:val="3F4D5267"/>
    <w:rsid w:val="3F51331F"/>
    <w:rsid w:val="3F517551"/>
    <w:rsid w:val="3F520ACF"/>
    <w:rsid w:val="3F5D194E"/>
    <w:rsid w:val="3F620D12"/>
    <w:rsid w:val="3F62239C"/>
    <w:rsid w:val="3F632CDC"/>
    <w:rsid w:val="3F6E1604"/>
    <w:rsid w:val="3F7153F9"/>
    <w:rsid w:val="3F78314A"/>
    <w:rsid w:val="3F7E3672"/>
    <w:rsid w:val="3F845F2F"/>
    <w:rsid w:val="3F88660A"/>
    <w:rsid w:val="3F9612A7"/>
    <w:rsid w:val="3F9707F3"/>
    <w:rsid w:val="3F9E7D38"/>
    <w:rsid w:val="3FA0456A"/>
    <w:rsid w:val="3FA66803"/>
    <w:rsid w:val="3FAE57A9"/>
    <w:rsid w:val="3FAE6E66"/>
    <w:rsid w:val="3FB451AA"/>
    <w:rsid w:val="3FB672B0"/>
    <w:rsid w:val="3FB8110B"/>
    <w:rsid w:val="3FB928FC"/>
    <w:rsid w:val="3FBE7F13"/>
    <w:rsid w:val="3FBF33C3"/>
    <w:rsid w:val="3FC124CB"/>
    <w:rsid w:val="3FC25C55"/>
    <w:rsid w:val="3FC574F3"/>
    <w:rsid w:val="3FC75019"/>
    <w:rsid w:val="3FC96FE3"/>
    <w:rsid w:val="3FCB3578"/>
    <w:rsid w:val="3FD414E4"/>
    <w:rsid w:val="3FDB6D16"/>
    <w:rsid w:val="3FDE23FF"/>
    <w:rsid w:val="3FDF4421"/>
    <w:rsid w:val="3FDF4E31"/>
    <w:rsid w:val="3FE54E78"/>
    <w:rsid w:val="3FE61943"/>
    <w:rsid w:val="3FEA4714"/>
    <w:rsid w:val="3FEB0EAB"/>
    <w:rsid w:val="3FEC6F17"/>
    <w:rsid w:val="3FEF5AE6"/>
    <w:rsid w:val="3FF04570"/>
    <w:rsid w:val="3FF102E8"/>
    <w:rsid w:val="3FF564D5"/>
    <w:rsid w:val="3FF57483"/>
    <w:rsid w:val="3FF63566"/>
    <w:rsid w:val="3FFB2F15"/>
    <w:rsid w:val="3FFD2EB8"/>
    <w:rsid w:val="3FFE2D80"/>
    <w:rsid w:val="3FFF47B3"/>
    <w:rsid w:val="4000052B"/>
    <w:rsid w:val="40000CC6"/>
    <w:rsid w:val="4001677D"/>
    <w:rsid w:val="4004626D"/>
    <w:rsid w:val="400725E8"/>
    <w:rsid w:val="400A42FE"/>
    <w:rsid w:val="401655F2"/>
    <w:rsid w:val="401B7113"/>
    <w:rsid w:val="40210BCD"/>
    <w:rsid w:val="40256266"/>
    <w:rsid w:val="402A0890"/>
    <w:rsid w:val="402E6E46"/>
    <w:rsid w:val="402F139F"/>
    <w:rsid w:val="40300E10"/>
    <w:rsid w:val="40343214"/>
    <w:rsid w:val="4038111F"/>
    <w:rsid w:val="403B1563"/>
    <w:rsid w:val="403C0D10"/>
    <w:rsid w:val="404003F3"/>
    <w:rsid w:val="404360D4"/>
    <w:rsid w:val="40460634"/>
    <w:rsid w:val="404A274C"/>
    <w:rsid w:val="40583EC3"/>
    <w:rsid w:val="405F75E5"/>
    <w:rsid w:val="40694322"/>
    <w:rsid w:val="406E1939"/>
    <w:rsid w:val="407056B1"/>
    <w:rsid w:val="4074424C"/>
    <w:rsid w:val="40757CEC"/>
    <w:rsid w:val="407E7DCE"/>
    <w:rsid w:val="408155C4"/>
    <w:rsid w:val="40890521"/>
    <w:rsid w:val="408C702F"/>
    <w:rsid w:val="408E03B9"/>
    <w:rsid w:val="408F1C70"/>
    <w:rsid w:val="40970560"/>
    <w:rsid w:val="40972C3D"/>
    <w:rsid w:val="409749EB"/>
    <w:rsid w:val="409A52CE"/>
    <w:rsid w:val="409B3ADD"/>
    <w:rsid w:val="409C29E0"/>
    <w:rsid w:val="409D1C04"/>
    <w:rsid w:val="40AA0BC3"/>
    <w:rsid w:val="40B35D97"/>
    <w:rsid w:val="40B5212F"/>
    <w:rsid w:val="40B530C4"/>
    <w:rsid w:val="40B70125"/>
    <w:rsid w:val="40BF6C14"/>
    <w:rsid w:val="40C15F0C"/>
    <w:rsid w:val="40C33A32"/>
    <w:rsid w:val="40C41559"/>
    <w:rsid w:val="40CB28E7"/>
    <w:rsid w:val="40D36039"/>
    <w:rsid w:val="40D45C40"/>
    <w:rsid w:val="40D77F92"/>
    <w:rsid w:val="40D8174B"/>
    <w:rsid w:val="40D914A8"/>
    <w:rsid w:val="40DA0D7C"/>
    <w:rsid w:val="40DD079C"/>
    <w:rsid w:val="40E669AC"/>
    <w:rsid w:val="40E77DF5"/>
    <w:rsid w:val="40EE1B02"/>
    <w:rsid w:val="40F11471"/>
    <w:rsid w:val="40F7192E"/>
    <w:rsid w:val="40F8462B"/>
    <w:rsid w:val="40FF29D2"/>
    <w:rsid w:val="410127AD"/>
    <w:rsid w:val="410302D3"/>
    <w:rsid w:val="41037AC1"/>
    <w:rsid w:val="4105229D"/>
    <w:rsid w:val="41061B71"/>
    <w:rsid w:val="410D2F00"/>
    <w:rsid w:val="41144102"/>
    <w:rsid w:val="41171FD0"/>
    <w:rsid w:val="4117519F"/>
    <w:rsid w:val="411A6EFA"/>
    <w:rsid w:val="411C5A99"/>
    <w:rsid w:val="411D7B04"/>
    <w:rsid w:val="412070D7"/>
    <w:rsid w:val="412248BD"/>
    <w:rsid w:val="41230975"/>
    <w:rsid w:val="412609E8"/>
    <w:rsid w:val="412B6CD2"/>
    <w:rsid w:val="412C1E47"/>
    <w:rsid w:val="41314E40"/>
    <w:rsid w:val="41322966"/>
    <w:rsid w:val="413535CF"/>
    <w:rsid w:val="413761CE"/>
    <w:rsid w:val="413831EB"/>
    <w:rsid w:val="41386BFC"/>
    <w:rsid w:val="413E0B7F"/>
    <w:rsid w:val="414C51A7"/>
    <w:rsid w:val="414D77A0"/>
    <w:rsid w:val="414F53AE"/>
    <w:rsid w:val="415968F4"/>
    <w:rsid w:val="415A0A7F"/>
    <w:rsid w:val="415C644F"/>
    <w:rsid w:val="415E32C1"/>
    <w:rsid w:val="415E375B"/>
    <w:rsid w:val="41613CD8"/>
    <w:rsid w:val="41654AEA"/>
    <w:rsid w:val="41690BDF"/>
    <w:rsid w:val="41720FB5"/>
    <w:rsid w:val="417411D1"/>
    <w:rsid w:val="41742F7F"/>
    <w:rsid w:val="417745AB"/>
    <w:rsid w:val="417D62D7"/>
    <w:rsid w:val="41807F80"/>
    <w:rsid w:val="41813A47"/>
    <w:rsid w:val="41815A6A"/>
    <w:rsid w:val="41831414"/>
    <w:rsid w:val="41857EAB"/>
    <w:rsid w:val="418C651A"/>
    <w:rsid w:val="41910688"/>
    <w:rsid w:val="4195772C"/>
    <w:rsid w:val="419B0ED5"/>
    <w:rsid w:val="419C582F"/>
    <w:rsid w:val="419E624E"/>
    <w:rsid w:val="41A20E18"/>
    <w:rsid w:val="41A92937"/>
    <w:rsid w:val="41AA12FF"/>
    <w:rsid w:val="41AF7020"/>
    <w:rsid w:val="41B24C4F"/>
    <w:rsid w:val="41B63D8A"/>
    <w:rsid w:val="41BA56BA"/>
    <w:rsid w:val="41C24875"/>
    <w:rsid w:val="41C45CB4"/>
    <w:rsid w:val="41C71300"/>
    <w:rsid w:val="41CB35B4"/>
    <w:rsid w:val="41D41C02"/>
    <w:rsid w:val="41D61543"/>
    <w:rsid w:val="41DA7286"/>
    <w:rsid w:val="41DB40D4"/>
    <w:rsid w:val="41DD28D2"/>
    <w:rsid w:val="41DD5280"/>
    <w:rsid w:val="41E73751"/>
    <w:rsid w:val="41E9718F"/>
    <w:rsid w:val="41EE4ADF"/>
    <w:rsid w:val="41F14360"/>
    <w:rsid w:val="41F360FA"/>
    <w:rsid w:val="41F476BF"/>
    <w:rsid w:val="41F540C0"/>
    <w:rsid w:val="41F67E38"/>
    <w:rsid w:val="41FA1B64"/>
    <w:rsid w:val="42002A64"/>
    <w:rsid w:val="42004812"/>
    <w:rsid w:val="42017389"/>
    <w:rsid w:val="42066663"/>
    <w:rsid w:val="420667E0"/>
    <w:rsid w:val="420D74E9"/>
    <w:rsid w:val="42100862"/>
    <w:rsid w:val="42105E99"/>
    <w:rsid w:val="42112A00"/>
    <w:rsid w:val="42114C71"/>
    <w:rsid w:val="42154762"/>
    <w:rsid w:val="4218129D"/>
    <w:rsid w:val="421B789E"/>
    <w:rsid w:val="421D7172"/>
    <w:rsid w:val="42225BE8"/>
    <w:rsid w:val="422B2A71"/>
    <w:rsid w:val="422E1154"/>
    <w:rsid w:val="42323D56"/>
    <w:rsid w:val="423454A0"/>
    <w:rsid w:val="42350960"/>
    <w:rsid w:val="42383FAC"/>
    <w:rsid w:val="423E5BED"/>
    <w:rsid w:val="42442F41"/>
    <w:rsid w:val="424566C9"/>
    <w:rsid w:val="42497F67"/>
    <w:rsid w:val="424B10A3"/>
    <w:rsid w:val="424B51C7"/>
    <w:rsid w:val="424E1A22"/>
    <w:rsid w:val="424E37D0"/>
    <w:rsid w:val="4250579A"/>
    <w:rsid w:val="42562684"/>
    <w:rsid w:val="4258464E"/>
    <w:rsid w:val="425D7EB7"/>
    <w:rsid w:val="425F2679"/>
    <w:rsid w:val="425F30BA"/>
    <w:rsid w:val="425F59DD"/>
    <w:rsid w:val="42641245"/>
    <w:rsid w:val="42642FF3"/>
    <w:rsid w:val="42647C38"/>
    <w:rsid w:val="426923B8"/>
    <w:rsid w:val="42710A18"/>
    <w:rsid w:val="42755200"/>
    <w:rsid w:val="42756FAE"/>
    <w:rsid w:val="427662BB"/>
    <w:rsid w:val="427848F0"/>
    <w:rsid w:val="427B0595"/>
    <w:rsid w:val="427D66D0"/>
    <w:rsid w:val="4286740D"/>
    <w:rsid w:val="42884F34"/>
    <w:rsid w:val="42895229"/>
    <w:rsid w:val="428B67D2"/>
    <w:rsid w:val="428B7752"/>
    <w:rsid w:val="428E740A"/>
    <w:rsid w:val="42916689"/>
    <w:rsid w:val="4295347D"/>
    <w:rsid w:val="429C278D"/>
    <w:rsid w:val="429D6505"/>
    <w:rsid w:val="429F5DD9"/>
    <w:rsid w:val="42A1000B"/>
    <w:rsid w:val="42A138BD"/>
    <w:rsid w:val="42A33B1C"/>
    <w:rsid w:val="42A52C48"/>
    <w:rsid w:val="42A530BB"/>
    <w:rsid w:val="42AD396F"/>
    <w:rsid w:val="42AE0712"/>
    <w:rsid w:val="42B17222"/>
    <w:rsid w:val="42B61086"/>
    <w:rsid w:val="42BE6BA7"/>
    <w:rsid w:val="42C33456"/>
    <w:rsid w:val="42C35F6C"/>
    <w:rsid w:val="42C41CE4"/>
    <w:rsid w:val="42CD1EF1"/>
    <w:rsid w:val="42D40179"/>
    <w:rsid w:val="42D812EB"/>
    <w:rsid w:val="42D9578F"/>
    <w:rsid w:val="42DD6902"/>
    <w:rsid w:val="42DE2A1F"/>
    <w:rsid w:val="42DE2DA6"/>
    <w:rsid w:val="42E859D2"/>
    <w:rsid w:val="42EC1FCC"/>
    <w:rsid w:val="42ED4D97"/>
    <w:rsid w:val="42F31F56"/>
    <w:rsid w:val="42F425C9"/>
    <w:rsid w:val="42F567B9"/>
    <w:rsid w:val="42F73E67"/>
    <w:rsid w:val="42F771B0"/>
    <w:rsid w:val="42F83576"/>
    <w:rsid w:val="43016A94"/>
    <w:rsid w:val="430B346F"/>
    <w:rsid w:val="43106CD7"/>
    <w:rsid w:val="431247FD"/>
    <w:rsid w:val="43156482"/>
    <w:rsid w:val="4318321A"/>
    <w:rsid w:val="431A323A"/>
    <w:rsid w:val="431E67D0"/>
    <w:rsid w:val="43214F2C"/>
    <w:rsid w:val="432664FB"/>
    <w:rsid w:val="432A426B"/>
    <w:rsid w:val="432A5FEB"/>
    <w:rsid w:val="432B3260"/>
    <w:rsid w:val="432B35CB"/>
    <w:rsid w:val="43340FE8"/>
    <w:rsid w:val="433C5D1E"/>
    <w:rsid w:val="4340523E"/>
    <w:rsid w:val="4341043E"/>
    <w:rsid w:val="43414C2F"/>
    <w:rsid w:val="434972B8"/>
    <w:rsid w:val="434B5F61"/>
    <w:rsid w:val="434F6290"/>
    <w:rsid w:val="435117C9"/>
    <w:rsid w:val="4354554F"/>
    <w:rsid w:val="4359242C"/>
    <w:rsid w:val="43601A0D"/>
    <w:rsid w:val="43615E6C"/>
    <w:rsid w:val="43686B13"/>
    <w:rsid w:val="436A288B"/>
    <w:rsid w:val="436E370D"/>
    <w:rsid w:val="43734D84"/>
    <w:rsid w:val="43747266"/>
    <w:rsid w:val="4375221F"/>
    <w:rsid w:val="43784FA8"/>
    <w:rsid w:val="437B4625"/>
    <w:rsid w:val="43813731"/>
    <w:rsid w:val="438A1CFF"/>
    <w:rsid w:val="4390261D"/>
    <w:rsid w:val="439068ED"/>
    <w:rsid w:val="43917E18"/>
    <w:rsid w:val="439C056B"/>
    <w:rsid w:val="439F3DF0"/>
    <w:rsid w:val="43A062AD"/>
    <w:rsid w:val="43B04433"/>
    <w:rsid w:val="43B64C3E"/>
    <w:rsid w:val="43B64E22"/>
    <w:rsid w:val="43B7459D"/>
    <w:rsid w:val="43BE6733"/>
    <w:rsid w:val="43C20FCB"/>
    <w:rsid w:val="43C27FD1"/>
    <w:rsid w:val="43C31F9B"/>
    <w:rsid w:val="43C755E8"/>
    <w:rsid w:val="43CA0832"/>
    <w:rsid w:val="43CD6146"/>
    <w:rsid w:val="43D146B8"/>
    <w:rsid w:val="43D30430"/>
    <w:rsid w:val="43D45F57"/>
    <w:rsid w:val="43D67F21"/>
    <w:rsid w:val="43D917BF"/>
    <w:rsid w:val="43DA644B"/>
    <w:rsid w:val="43E06D85"/>
    <w:rsid w:val="43E12C79"/>
    <w:rsid w:val="43E45F27"/>
    <w:rsid w:val="43E8166A"/>
    <w:rsid w:val="43E91A02"/>
    <w:rsid w:val="43E94C92"/>
    <w:rsid w:val="43F403A7"/>
    <w:rsid w:val="43F54B90"/>
    <w:rsid w:val="43F56BF9"/>
    <w:rsid w:val="43F75BE4"/>
    <w:rsid w:val="43FB16EA"/>
    <w:rsid w:val="43FB34E3"/>
    <w:rsid w:val="43FF27A5"/>
    <w:rsid w:val="44000AFA"/>
    <w:rsid w:val="44006D4C"/>
    <w:rsid w:val="440C56F0"/>
    <w:rsid w:val="440F4583"/>
    <w:rsid w:val="441632B3"/>
    <w:rsid w:val="44164EA4"/>
    <w:rsid w:val="441955EB"/>
    <w:rsid w:val="441D78FE"/>
    <w:rsid w:val="441F5424"/>
    <w:rsid w:val="44213949"/>
    <w:rsid w:val="44220CCA"/>
    <w:rsid w:val="44237907"/>
    <w:rsid w:val="44290050"/>
    <w:rsid w:val="44380512"/>
    <w:rsid w:val="4438171C"/>
    <w:rsid w:val="443D6957"/>
    <w:rsid w:val="44515C0D"/>
    <w:rsid w:val="44525899"/>
    <w:rsid w:val="44544FD6"/>
    <w:rsid w:val="44562E10"/>
    <w:rsid w:val="445A46AE"/>
    <w:rsid w:val="445B0426"/>
    <w:rsid w:val="445D5F4C"/>
    <w:rsid w:val="445E6A2A"/>
    <w:rsid w:val="445F77AD"/>
    <w:rsid w:val="446067CC"/>
    <w:rsid w:val="44626639"/>
    <w:rsid w:val="446B68BB"/>
    <w:rsid w:val="446E0159"/>
    <w:rsid w:val="446E3934"/>
    <w:rsid w:val="44705C7F"/>
    <w:rsid w:val="447119F7"/>
    <w:rsid w:val="44775260"/>
    <w:rsid w:val="447D214A"/>
    <w:rsid w:val="448565CE"/>
    <w:rsid w:val="4487121B"/>
    <w:rsid w:val="449A2CFC"/>
    <w:rsid w:val="449B0822"/>
    <w:rsid w:val="449C6A74"/>
    <w:rsid w:val="449D3A1E"/>
    <w:rsid w:val="449F3A0E"/>
    <w:rsid w:val="44A27DCA"/>
    <w:rsid w:val="44A542E6"/>
    <w:rsid w:val="44AE69B5"/>
    <w:rsid w:val="44B00772"/>
    <w:rsid w:val="44BA6EFA"/>
    <w:rsid w:val="44BB7E02"/>
    <w:rsid w:val="44BC3EB6"/>
    <w:rsid w:val="44BD4C3D"/>
    <w:rsid w:val="44BF09B5"/>
    <w:rsid w:val="44C11EB0"/>
    <w:rsid w:val="44C45CF1"/>
    <w:rsid w:val="44C61D43"/>
    <w:rsid w:val="44C90EEF"/>
    <w:rsid w:val="44CD4E80"/>
    <w:rsid w:val="44CF6B7D"/>
    <w:rsid w:val="44D0671E"/>
    <w:rsid w:val="44D1191E"/>
    <w:rsid w:val="44D426B2"/>
    <w:rsid w:val="44D648DA"/>
    <w:rsid w:val="44D73F50"/>
    <w:rsid w:val="44DA134B"/>
    <w:rsid w:val="44DE708D"/>
    <w:rsid w:val="44DF2E05"/>
    <w:rsid w:val="44DF3D94"/>
    <w:rsid w:val="44ED41C5"/>
    <w:rsid w:val="44ED72D0"/>
    <w:rsid w:val="44F3065E"/>
    <w:rsid w:val="44F634F5"/>
    <w:rsid w:val="44F8470C"/>
    <w:rsid w:val="44FC3555"/>
    <w:rsid w:val="44FE1FB7"/>
    <w:rsid w:val="45012D7B"/>
    <w:rsid w:val="45042E68"/>
    <w:rsid w:val="45060392"/>
    <w:rsid w:val="450D7823"/>
    <w:rsid w:val="4513485D"/>
    <w:rsid w:val="451A208F"/>
    <w:rsid w:val="451C1963"/>
    <w:rsid w:val="452355C2"/>
    <w:rsid w:val="4528655A"/>
    <w:rsid w:val="452F78E8"/>
    <w:rsid w:val="45300852"/>
    <w:rsid w:val="45366FAE"/>
    <w:rsid w:val="45386362"/>
    <w:rsid w:val="453933F0"/>
    <w:rsid w:val="453D1F50"/>
    <w:rsid w:val="4541761C"/>
    <w:rsid w:val="45433394"/>
    <w:rsid w:val="45437253"/>
    <w:rsid w:val="454809AA"/>
    <w:rsid w:val="45527754"/>
    <w:rsid w:val="45592BB7"/>
    <w:rsid w:val="455E01CE"/>
    <w:rsid w:val="455E0543"/>
    <w:rsid w:val="456232EE"/>
    <w:rsid w:val="456357E4"/>
    <w:rsid w:val="45655ABD"/>
    <w:rsid w:val="456F5F37"/>
    <w:rsid w:val="4575743C"/>
    <w:rsid w:val="457A2FE9"/>
    <w:rsid w:val="457C5DBE"/>
    <w:rsid w:val="458A2D71"/>
    <w:rsid w:val="458F482B"/>
    <w:rsid w:val="459042B4"/>
    <w:rsid w:val="459A2CE8"/>
    <w:rsid w:val="459D5FDA"/>
    <w:rsid w:val="459E2D94"/>
    <w:rsid w:val="45A05193"/>
    <w:rsid w:val="45A51959"/>
    <w:rsid w:val="45AC0F39"/>
    <w:rsid w:val="45AD2F03"/>
    <w:rsid w:val="45AD4CB1"/>
    <w:rsid w:val="45B44D28"/>
    <w:rsid w:val="45B47DEE"/>
    <w:rsid w:val="45BC24D6"/>
    <w:rsid w:val="45BE0C6C"/>
    <w:rsid w:val="45BE2430"/>
    <w:rsid w:val="45C01308"/>
    <w:rsid w:val="45C27655"/>
    <w:rsid w:val="45C51FFB"/>
    <w:rsid w:val="45C75D73"/>
    <w:rsid w:val="45CA5863"/>
    <w:rsid w:val="45D45791"/>
    <w:rsid w:val="45E00461"/>
    <w:rsid w:val="45E05087"/>
    <w:rsid w:val="45E56269"/>
    <w:rsid w:val="45E64357"/>
    <w:rsid w:val="45E76415"/>
    <w:rsid w:val="45F41130"/>
    <w:rsid w:val="45F428E0"/>
    <w:rsid w:val="45F57185"/>
    <w:rsid w:val="45F97EF6"/>
    <w:rsid w:val="46032B23"/>
    <w:rsid w:val="46072613"/>
    <w:rsid w:val="460B6111"/>
    <w:rsid w:val="46102337"/>
    <w:rsid w:val="46162856"/>
    <w:rsid w:val="46165BAE"/>
    <w:rsid w:val="461D09C1"/>
    <w:rsid w:val="46202B2C"/>
    <w:rsid w:val="462036D5"/>
    <w:rsid w:val="462431C5"/>
    <w:rsid w:val="462C07AA"/>
    <w:rsid w:val="463D012B"/>
    <w:rsid w:val="46401681"/>
    <w:rsid w:val="464816D6"/>
    <w:rsid w:val="464E104B"/>
    <w:rsid w:val="46560EA5"/>
    <w:rsid w:val="465626D2"/>
    <w:rsid w:val="465A543C"/>
    <w:rsid w:val="465D0485"/>
    <w:rsid w:val="46603C6F"/>
    <w:rsid w:val="466077EA"/>
    <w:rsid w:val="46620A05"/>
    <w:rsid w:val="466962C2"/>
    <w:rsid w:val="466B2BA2"/>
    <w:rsid w:val="466E0E98"/>
    <w:rsid w:val="46713F31"/>
    <w:rsid w:val="46737CA9"/>
    <w:rsid w:val="46781C8D"/>
    <w:rsid w:val="467A2DE5"/>
    <w:rsid w:val="467B6B5D"/>
    <w:rsid w:val="467D28D5"/>
    <w:rsid w:val="46827EEC"/>
    <w:rsid w:val="46831002"/>
    <w:rsid w:val="468477C0"/>
    <w:rsid w:val="46853538"/>
    <w:rsid w:val="46863764"/>
    <w:rsid w:val="46900A85"/>
    <w:rsid w:val="46901B0F"/>
    <w:rsid w:val="469261FC"/>
    <w:rsid w:val="469A6FE4"/>
    <w:rsid w:val="46A67FD5"/>
    <w:rsid w:val="46AE4F41"/>
    <w:rsid w:val="46B05D50"/>
    <w:rsid w:val="46B163B6"/>
    <w:rsid w:val="46B207D1"/>
    <w:rsid w:val="46B63BB2"/>
    <w:rsid w:val="46BA7686"/>
    <w:rsid w:val="46BB2A35"/>
    <w:rsid w:val="46BF4C9C"/>
    <w:rsid w:val="46C13097"/>
    <w:rsid w:val="46C471DC"/>
    <w:rsid w:val="46CA0194"/>
    <w:rsid w:val="46CE1383"/>
    <w:rsid w:val="46D00C57"/>
    <w:rsid w:val="46D155B4"/>
    <w:rsid w:val="46D37582"/>
    <w:rsid w:val="46D65EC9"/>
    <w:rsid w:val="46D706E8"/>
    <w:rsid w:val="46DD539D"/>
    <w:rsid w:val="46E93AC7"/>
    <w:rsid w:val="46ED1809"/>
    <w:rsid w:val="46EE37D3"/>
    <w:rsid w:val="46F56910"/>
    <w:rsid w:val="46F801AE"/>
    <w:rsid w:val="46F87D23"/>
    <w:rsid w:val="46FA005E"/>
    <w:rsid w:val="46FC0B34"/>
    <w:rsid w:val="46FD57C4"/>
    <w:rsid w:val="46FF3067"/>
    <w:rsid w:val="4703102D"/>
    <w:rsid w:val="47037145"/>
    <w:rsid w:val="4707219F"/>
    <w:rsid w:val="47173184"/>
    <w:rsid w:val="47182221"/>
    <w:rsid w:val="471843AC"/>
    <w:rsid w:val="471C5C4A"/>
    <w:rsid w:val="4722447D"/>
    <w:rsid w:val="4723347D"/>
    <w:rsid w:val="472A4409"/>
    <w:rsid w:val="472E3BD0"/>
    <w:rsid w:val="472E571C"/>
    <w:rsid w:val="472F1E22"/>
    <w:rsid w:val="47307948"/>
    <w:rsid w:val="47321912"/>
    <w:rsid w:val="473531B0"/>
    <w:rsid w:val="4736350F"/>
    <w:rsid w:val="47376F28"/>
    <w:rsid w:val="47380745"/>
    <w:rsid w:val="473E2065"/>
    <w:rsid w:val="474653BD"/>
    <w:rsid w:val="47490A0A"/>
    <w:rsid w:val="47512177"/>
    <w:rsid w:val="47520524"/>
    <w:rsid w:val="47531A9D"/>
    <w:rsid w:val="4754757C"/>
    <w:rsid w:val="47563C12"/>
    <w:rsid w:val="47573126"/>
    <w:rsid w:val="477639A4"/>
    <w:rsid w:val="477E0286"/>
    <w:rsid w:val="477E05B5"/>
    <w:rsid w:val="478170EF"/>
    <w:rsid w:val="47855EE6"/>
    <w:rsid w:val="47885E43"/>
    <w:rsid w:val="479371F0"/>
    <w:rsid w:val="47990732"/>
    <w:rsid w:val="47A520E4"/>
    <w:rsid w:val="47A52DF3"/>
    <w:rsid w:val="47A53690"/>
    <w:rsid w:val="47AD2F34"/>
    <w:rsid w:val="47B440D5"/>
    <w:rsid w:val="47B91A6A"/>
    <w:rsid w:val="47C14A44"/>
    <w:rsid w:val="47C22C96"/>
    <w:rsid w:val="47C40234"/>
    <w:rsid w:val="47C5549F"/>
    <w:rsid w:val="47C6205A"/>
    <w:rsid w:val="47CD709C"/>
    <w:rsid w:val="47D97FDF"/>
    <w:rsid w:val="47E0136E"/>
    <w:rsid w:val="47E57EF1"/>
    <w:rsid w:val="47EA56B3"/>
    <w:rsid w:val="47EC7D13"/>
    <w:rsid w:val="47F15951"/>
    <w:rsid w:val="47F316BC"/>
    <w:rsid w:val="47F60B91"/>
    <w:rsid w:val="47F97870"/>
    <w:rsid w:val="47FD3916"/>
    <w:rsid w:val="4800731A"/>
    <w:rsid w:val="48014132"/>
    <w:rsid w:val="48032107"/>
    <w:rsid w:val="48036E0A"/>
    <w:rsid w:val="480F6EA0"/>
    <w:rsid w:val="48107AED"/>
    <w:rsid w:val="48125921"/>
    <w:rsid w:val="48156D20"/>
    <w:rsid w:val="48231CAB"/>
    <w:rsid w:val="48253225"/>
    <w:rsid w:val="4828061F"/>
    <w:rsid w:val="48280889"/>
    <w:rsid w:val="48284AC3"/>
    <w:rsid w:val="48315726"/>
    <w:rsid w:val="48343468"/>
    <w:rsid w:val="48360F8E"/>
    <w:rsid w:val="483671E0"/>
    <w:rsid w:val="484418FD"/>
    <w:rsid w:val="484C356C"/>
    <w:rsid w:val="4851321C"/>
    <w:rsid w:val="4853392F"/>
    <w:rsid w:val="485725BC"/>
    <w:rsid w:val="48594C7C"/>
    <w:rsid w:val="485A79C0"/>
    <w:rsid w:val="4860425D"/>
    <w:rsid w:val="486229E3"/>
    <w:rsid w:val="48633AC3"/>
    <w:rsid w:val="486378A9"/>
    <w:rsid w:val="4866393C"/>
    <w:rsid w:val="4867383D"/>
    <w:rsid w:val="486A0C38"/>
    <w:rsid w:val="48713C59"/>
    <w:rsid w:val="4876582E"/>
    <w:rsid w:val="48834C9A"/>
    <w:rsid w:val="4885000E"/>
    <w:rsid w:val="488C42BB"/>
    <w:rsid w:val="488E2B78"/>
    <w:rsid w:val="48927DD5"/>
    <w:rsid w:val="48930B01"/>
    <w:rsid w:val="489363E0"/>
    <w:rsid w:val="489E1CB1"/>
    <w:rsid w:val="48A26BF9"/>
    <w:rsid w:val="48A733C3"/>
    <w:rsid w:val="48AA3EBF"/>
    <w:rsid w:val="48B33CF6"/>
    <w:rsid w:val="48B60321"/>
    <w:rsid w:val="48BB1493"/>
    <w:rsid w:val="48BB6E3E"/>
    <w:rsid w:val="48C22822"/>
    <w:rsid w:val="48C742DC"/>
    <w:rsid w:val="48CC18F2"/>
    <w:rsid w:val="48CE7418"/>
    <w:rsid w:val="48D16F09"/>
    <w:rsid w:val="48D32C81"/>
    <w:rsid w:val="48D34A2F"/>
    <w:rsid w:val="48D927FE"/>
    <w:rsid w:val="48DA5DBD"/>
    <w:rsid w:val="48DC7D87"/>
    <w:rsid w:val="48DF4E4B"/>
    <w:rsid w:val="48E46C3C"/>
    <w:rsid w:val="48EA3B26"/>
    <w:rsid w:val="48EE1869"/>
    <w:rsid w:val="48EE7ABB"/>
    <w:rsid w:val="48F53030"/>
    <w:rsid w:val="48F86E76"/>
    <w:rsid w:val="48F9760D"/>
    <w:rsid w:val="48FA645F"/>
    <w:rsid w:val="48FD7CFE"/>
    <w:rsid w:val="490270C2"/>
    <w:rsid w:val="490653E7"/>
    <w:rsid w:val="49080B7C"/>
    <w:rsid w:val="490966A2"/>
    <w:rsid w:val="491603F6"/>
    <w:rsid w:val="491868E5"/>
    <w:rsid w:val="491A245C"/>
    <w:rsid w:val="491C63D6"/>
    <w:rsid w:val="49217FAF"/>
    <w:rsid w:val="4924528A"/>
    <w:rsid w:val="49263280"/>
    <w:rsid w:val="492D1FD6"/>
    <w:rsid w:val="493354CD"/>
    <w:rsid w:val="493A4AAE"/>
    <w:rsid w:val="494018C3"/>
    <w:rsid w:val="49437E06"/>
    <w:rsid w:val="49464230"/>
    <w:rsid w:val="494843FB"/>
    <w:rsid w:val="49502686"/>
    <w:rsid w:val="49507E2D"/>
    <w:rsid w:val="49525BF5"/>
    <w:rsid w:val="49550819"/>
    <w:rsid w:val="496E4757"/>
    <w:rsid w:val="496F2B93"/>
    <w:rsid w:val="49706721"/>
    <w:rsid w:val="4977185E"/>
    <w:rsid w:val="4978579E"/>
    <w:rsid w:val="49785A5A"/>
    <w:rsid w:val="497862E6"/>
    <w:rsid w:val="497A426C"/>
    <w:rsid w:val="49816239"/>
    <w:rsid w:val="4983268F"/>
    <w:rsid w:val="49836B21"/>
    <w:rsid w:val="49840251"/>
    <w:rsid w:val="49865F45"/>
    <w:rsid w:val="49896373"/>
    <w:rsid w:val="498B682D"/>
    <w:rsid w:val="498D2E30"/>
    <w:rsid w:val="49904A94"/>
    <w:rsid w:val="49944D28"/>
    <w:rsid w:val="499730B5"/>
    <w:rsid w:val="499C7517"/>
    <w:rsid w:val="49A34401"/>
    <w:rsid w:val="49A91762"/>
    <w:rsid w:val="49A9347A"/>
    <w:rsid w:val="49AB4C10"/>
    <w:rsid w:val="49AC607E"/>
    <w:rsid w:val="49AD34D2"/>
    <w:rsid w:val="49AF1223"/>
    <w:rsid w:val="49AF724A"/>
    <w:rsid w:val="49B05A9C"/>
    <w:rsid w:val="49B26D3A"/>
    <w:rsid w:val="49B46857"/>
    <w:rsid w:val="49B751B4"/>
    <w:rsid w:val="49B760FE"/>
    <w:rsid w:val="49B857D0"/>
    <w:rsid w:val="49BB2948"/>
    <w:rsid w:val="49C034AC"/>
    <w:rsid w:val="49C36851"/>
    <w:rsid w:val="49C94B07"/>
    <w:rsid w:val="49D2118A"/>
    <w:rsid w:val="49DC7913"/>
    <w:rsid w:val="49E03229"/>
    <w:rsid w:val="49E0494E"/>
    <w:rsid w:val="49E1317B"/>
    <w:rsid w:val="49E47E86"/>
    <w:rsid w:val="49E62540"/>
    <w:rsid w:val="49E956CE"/>
    <w:rsid w:val="49ED23C6"/>
    <w:rsid w:val="49ED60BF"/>
    <w:rsid w:val="49F20EE5"/>
    <w:rsid w:val="49F23188"/>
    <w:rsid w:val="49FE3355"/>
    <w:rsid w:val="4A0208E9"/>
    <w:rsid w:val="4A080708"/>
    <w:rsid w:val="4A0828A8"/>
    <w:rsid w:val="4A0D4022"/>
    <w:rsid w:val="4A0E403F"/>
    <w:rsid w:val="4A0F5F3A"/>
    <w:rsid w:val="4A0F7395"/>
    <w:rsid w:val="4A123335"/>
    <w:rsid w:val="4A174DEF"/>
    <w:rsid w:val="4A1A56BC"/>
    <w:rsid w:val="4A1A5872"/>
    <w:rsid w:val="4A1B0AC0"/>
    <w:rsid w:val="4A1B73C5"/>
    <w:rsid w:val="4A1E7F2C"/>
    <w:rsid w:val="4A205A52"/>
    <w:rsid w:val="4A2258DA"/>
    <w:rsid w:val="4A237EFA"/>
    <w:rsid w:val="4A25272A"/>
    <w:rsid w:val="4A2D016F"/>
    <w:rsid w:val="4A2F3EE7"/>
    <w:rsid w:val="4A300ACA"/>
    <w:rsid w:val="4A307857"/>
    <w:rsid w:val="4A34490C"/>
    <w:rsid w:val="4A344922"/>
    <w:rsid w:val="4A350F85"/>
    <w:rsid w:val="4A397D63"/>
    <w:rsid w:val="4A3B0ADD"/>
    <w:rsid w:val="4A3C335F"/>
    <w:rsid w:val="4A404781"/>
    <w:rsid w:val="4A412FF6"/>
    <w:rsid w:val="4A464932"/>
    <w:rsid w:val="4A4C2CEB"/>
    <w:rsid w:val="4A4F106C"/>
    <w:rsid w:val="4A4F27DB"/>
    <w:rsid w:val="4A5441D8"/>
    <w:rsid w:val="4A590F64"/>
    <w:rsid w:val="4A5B2F2E"/>
    <w:rsid w:val="4A5D46E1"/>
    <w:rsid w:val="4A5F623F"/>
    <w:rsid w:val="4A654608"/>
    <w:rsid w:val="4A6856D6"/>
    <w:rsid w:val="4A7118AA"/>
    <w:rsid w:val="4A722025"/>
    <w:rsid w:val="4A860B53"/>
    <w:rsid w:val="4A861E7A"/>
    <w:rsid w:val="4A8E0B78"/>
    <w:rsid w:val="4A984446"/>
    <w:rsid w:val="4A9A1439"/>
    <w:rsid w:val="4A9D52F4"/>
    <w:rsid w:val="4A9F106C"/>
    <w:rsid w:val="4A9F6AD2"/>
    <w:rsid w:val="4AA228CE"/>
    <w:rsid w:val="4AA246B9"/>
    <w:rsid w:val="4AA84D33"/>
    <w:rsid w:val="4AA91345"/>
    <w:rsid w:val="4AAB5447"/>
    <w:rsid w:val="4AAE7501"/>
    <w:rsid w:val="4AAF625D"/>
    <w:rsid w:val="4AB12B4E"/>
    <w:rsid w:val="4ABA5707"/>
    <w:rsid w:val="4AC565F9"/>
    <w:rsid w:val="4AC62A9D"/>
    <w:rsid w:val="4AC73519"/>
    <w:rsid w:val="4AC93DF3"/>
    <w:rsid w:val="4ACA1E61"/>
    <w:rsid w:val="4AD351BA"/>
    <w:rsid w:val="4ADA02F6"/>
    <w:rsid w:val="4AE20F59"/>
    <w:rsid w:val="4AE63A78"/>
    <w:rsid w:val="4AF15640"/>
    <w:rsid w:val="4AF41544"/>
    <w:rsid w:val="4AF53C79"/>
    <w:rsid w:val="4AF60EA8"/>
    <w:rsid w:val="4AF62C56"/>
    <w:rsid w:val="4AF84C20"/>
    <w:rsid w:val="4AFB026D"/>
    <w:rsid w:val="4AFC4BAB"/>
    <w:rsid w:val="4AFC6C8F"/>
    <w:rsid w:val="4AFD0781"/>
    <w:rsid w:val="4AFD11C3"/>
    <w:rsid w:val="4AFE0D4F"/>
    <w:rsid w:val="4B015081"/>
    <w:rsid w:val="4B027286"/>
    <w:rsid w:val="4B0324B1"/>
    <w:rsid w:val="4B037DB3"/>
    <w:rsid w:val="4B0C003F"/>
    <w:rsid w:val="4B0C433A"/>
    <w:rsid w:val="4B0D06CC"/>
    <w:rsid w:val="4B103D18"/>
    <w:rsid w:val="4B1062C6"/>
    <w:rsid w:val="4B150049"/>
    <w:rsid w:val="4B1B446B"/>
    <w:rsid w:val="4B1D0298"/>
    <w:rsid w:val="4B1E0FED"/>
    <w:rsid w:val="4B1F03FF"/>
    <w:rsid w:val="4B1F44FD"/>
    <w:rsid w:val="4B2009A5"/>
    <w:rsid w:val="4B215F25"/>
    <w:rsid w:val="4B223A4B"/>
    <w:rsid w:val="4B237178"/>
    <w:rsid w:val="4B2651D5"/>
    <w:rsid w:val="4B271062"/>
    <w:rsid w:val="4B2772B4"/>
    <w:rsid w:val="4B29302C"/>
    <w:rsid w:val="4B294DDA"/>
    <w:rsid w:val="4B2C5262"/>
    <w:rsid w:val="4B2E1830"/>
    <w:rsid w:val="4B315A3D"/>
    <w:rsid w:val="4B316CBE"/>
    <w:rsid w:val="4B345DC9"/>
    <w:rsid w:val="4B366B76"/>
    <w:rsid w:val="4B394F7C"/>
    <w:rsid w:val="4B3B3EFB"/>
    <w:rsid w:val="4B3F0159"/>
    <w:rsid w:val="4B425E9C"/>
    <w:rsid w:val="4B430649"/>
    <w:rsid w:val="4B43190E"/>
    <w:rsid w:val="4B5146DF"/>
    <w:rsid w:val="4B517E8D"/>
    <w:rsid w:val="4B525AA3"/>
    <w:rsid w:val="4B5941BD"/>
    <w:rsid w:val="4B5A0632"/>
    <w:rsid w:val="4B602E2E"/>
    <w:rsid w:val="4B6202EC"/>
    <w:rsid w:val="4B663938"/>
    <w:rsid w:val="4B6F58E3"/>
    <w:rsid w:val="4B700C5B"/>
    <w:rsid w:val="4B7F2C4C"/>
    <w:rsid w:val="4B8154C0"/>
    <w:rsid w:val="4B8F7333"/>
    <w:rsid w:val="4B902B68"/>
    <w:rsid w:val="4B9304A5"/>
    <w:rsid w:val="4B9761E7"/>
    <w:rsid w:val="4B9C55AC"/>
    <w:rsid w:val="4BA40904"/>
    <w:rsid w:val="4BB072A9"/>
    <w:rsid w:val="4BB73A4F"/>
    <w:rsid w:val="4BBE0D93"/>
    <w:rsid w:val="4BBF74EC"/>
    <w:rsid w:val="4BC61EF2"/>
    <w:rsid w:val="4BC650FE"/>
    <w:rsid w:val="4BC86770"/>
    <w:rsid w:val="4BCB3D9F"/>
    <w:rsid w:val="4BD01435"/>
    <w:rsid w:val="4BD25472"/>
    <w:rsid w:val="4BD6237F"/>
    <w:rsid w:val="4BD74C72"/>
    <w:rsid w:val="4BDC6081"/>
    <w:rsid w:val="4BE12648"/>
    <w:rsid w:val="4BE17463"/>
    <w:rsid w:val="4BE53ACC"/>
    <w:rsid w:val="4BF06A12"/>
    <w:rsid w:val="4BF61160"/>
    <w:rsid w:val="4BF76CB9"/>
    <w:rsid w:val="4BFA0524"/>
    <w:rsid w:val="4C017B05"/>
    <w:rsid w:val="4C043151"/>
    <w:rsid w:val="4C06511B"/>
    <w:rsid w:val="4C075C6D"/>
    <w:rsid w:val="4C0B44E0"/>
    <w:rsid w:val="4C0D64AA"/>
    <w:rsid w:val="4C1710D6"/>
    <w:rsid w:val="4C184CCF"/>
    <w:rsid w:val="4C1A076C"/>
    <w:rsid w:val="4C1B0BC7"/>
    <w:rsid w:val="4C237A7B"/>
    <w:rsid w:val="4C251A45"/>
    <w:rsid w:val="4C2A2BB8"/>
    <w:rsid w:val="4C2F0F0C"/>
    <w:rsid w:val="4C307B79"/>
    <w:rsid w:val="4C32539B"/>
    <w:rsid w:val="4C3373B0"/>
    <w:rsid w:val="4C372663"/>
    <w:rsid w:val="4C382FB5"/>
    <w:rsid w:val="4C386601"/>
    <w:rsid w:val="4C3954F1"/>
    <w:rsid w:val="4C3B3E8B"/>
    <w:rsid w:val="4C3C28EB"/>
    <w:rsid w:val="4C3D39AF"/>
    <w:rsid w:val="4C400831"/>
    <w:rsid w:val="4C4638EC"/>
    <w:rsid w:val="4C47510F"/>
    <w:rsid w:val="4C4A1940"/>
    <w:rsid w:val="4C4A325A"/>
    <w:rsid w:val="4C4C07E3"/>
    <w:rsid w:val="4C4C76E4"/>
    <w:rsid w:val="4C4D0749"/>
    <w:rsid w:val="4C4F4371"/>
    <w:rsid w:val="4C512CC8"/>
    <w:rsid w:val="4C60482B"/>
    <w:rsid w:val="4C6C0C46"/>
    <w:rsid w:val="4C6E55E0"/>
    <w:rsid w:val="4C6F0F8B"/>
    <w:rsid w:val="4C716A38"/>
    <w:rsid w:val="4C784EC6"/>
    <w:rsid w:val="4C7B3E8B"/>
    <w:rsid w:val="4C8F73E2"/>
    <w:rsid w:val="4C975D73"/>
    <w:rsid w:val="4CA7057E"/>
    <w:rsid w:val="4CAA2004"/>
    <w:rsid w:val="4CAC1CA9"/>
    <w:rsid w:val="4CB30DFF"/>
    <w:rsid w:val="4CB36B81"/>
    <w:rsid w:val="4CB43C8A"/>
    <w:rsid w:val="4CBB4158"/>
    <w:rsid w:val="4CBF18D9"/>
    <w:rsid w:val="4CC71248"/>
    <w:rsid w:val="4CCD4A3C"/>
    <w:rsid w:val="4CCE79E7"/>
    <w:rsid w:val="4CD07C03"/>
    <w:rsid w:val="4CD174D7"/>
    <w:rsid w:val="4CD34FFD"/>
    <w:rsid w:val="4CD55219"/>
    <w:rsid w:val="4CD82614"/>
    <w:rsid w:val="4CDE5C7B"/>
    <w:rsid w:val="4CDF10D4"/>
    <w:rsid w:val="4CE23FF4"/>
    <w:rsid w:val="4CE511D4"/>
    <w:rsid w:val="4CEC60BF"/>
    <w:rsid w:val="4CF67C72"/>
    <w:rsid w:val="4CFA2B37"/>
    <w:rsid w:val="4D023B34"/>
    <w:rsid w:val="4D07114B"/>
    <w:rsid w:val="4D07739D"/>
    <w:rsid w:val="4D10347C"/>
    <w:rsid w:val="4D115B26"/>
    <w:rsid w:val="4D1849FE"/>
    <w:rsid w:val="4D1C122D"/>
    <w:rsid w:val="4D2515D1"/>
    <w:rsid w:val="4D2770F7"/>
    <w:rsid w:val="4D36558C"/>
    <w:rsid w:val="4D3A32CE"/>
    <w:rsid w:val="4D3D18EF"/>
    <w:rsid w:val="4D3E0700"/>
    <w:rsid w:val="4D4203D5"/>
    <w:rsid w:val="4D4C4DB0"/>
    <w:rsid w:val="4D4E09EC"/>
    <w:rsid w:val="4D51185A"/>
    <w:rsid w:val="4D55525D"/>
    <w:rsid w:val="4D564112"/>
    <w:rsid w:val="4D583754"/>
    <w:rsid w:val="4D5C5798"/>
    <w:rsid w:val="4D6D36A4"/>
    <w:rsid w:val="4D6D5452"/>
    <w:rsid w:val="4D793EC4"/>
    <w:rsid w:val="4D7E7AF9"/>
    <w:rsid w:val="4D7F5185"/>
    <w:rsid w:val="4D8F326A"/>
    <w:rsid w:val="4D907392"/>
    <w:rsid w:val="4D930C30"/>
    <w:rsid w:val="4D940F18"/>
    <w:rsid w:val="4D9B16F9"/>
    <w:rsid w:val="4D9C0D5C"/>
    <w:rsid w:val="4DA150FB"/>
    <w:rsid w:val="4DA43D16"/>
    <w:rsid w:val="4DA979A2"/>
    <w:rsid w:val="4DB379FE"/>
    <w:rsid w:val="4DB52955"/>
    <w:rsid w:val="4DBA440F"/>
    <w:rsid w:val="4DBC0187"/>
    <w:rsid w:val="4DC112FA"/>
    <w:rsid w:val="4DC31516"/>
    <w:rsid w:val="4DC6249D"/>
    <w:rsid w:val="4DC808DA"/>
    <w:rsid w:val="4DCB03CA"/>
    <w:rsid w:val="4DCC5A01"/>
    <w:rsid w:val="4DD52FF7"/>
    <w:rsid w:val="4DD74FC1"/>
    <w:rsid w:val="4DDA685F"/>
    <w:rsid w:val="4DE44FE8"/>
    <w:rsid w:val="4DE47AA1"/>
    <w:rsid w:val="4DE71232"/>
    <w:rsid w:val="4DE82D2A"/>
    <w:rsid w:val="4DF25957"/>
    <w:rsid w:val="4DF55CE1"/>
    <w:rsid w:val="4DF6495C"/>
    <w:rsid w:val="4DFA2621"/>
    <w:rsid w:val="4DFF6114"/>
    <w:rsid w:val="4E07185B"/>
    <w:rsid w:val="4E104F54"/>
    <w:rsid w:val="4E1A4431"/>
    <w:rsid w:val="4E220E44"/>
    <w:rsid w:val="4E2B0E69"/>
    <w:rsid w:val="4E2C1970"/>
    <w:rsid w:val="4E31759A"/>
    <w:rsid w:val="4E321A62"/>
    <w:rsid w:val="4E340490"/>
    <w:rsid w:val="4E3E0F6D"/>
    <w:rsid w:val="4E3F4083"/>
    <w:rsid w:val="4E3F7CFB"/>
    <w:rsid w:val="4E411E96"/>
    <w:rsid w:val="4E456C08"/>
    <w:rsid w:val="4E473063"/>
    <w:rsid w:val="4E487C6D"/>
    <w:rsid w:val="4E4A5793"/>
    <w:rsid w:val="4E4B286E"/>
    <w:rsid w:val="4E522680"/>
    <w:rsid w:val="4E564BEC"/>
    <w:rsid w:val="4E602591"/>
    <w:rsid w:val="4E6127A4"/>
    <w:rsid w:val="4E630603"/>
    <w:rsid w:val="4E6525CD"/>
    <w:rsid w:val="4E6B2DD4"/>
    <w:rsid w:val="4E6D3230"/>
    <w:rsid w:val="4E6D76D3"/>
    <w:rsid w:val="4E712D20"/>
    <w:rsid w:val="4E772F17"/>
    <w:rsid w:val="4E7740AE"/>
    <w:rsid w:val="4E797A6F"/>
    <w:rsid w:val="4E7C16C5"/>
    <w:rsid w:val="4E7C3473"/>
    <w:rsid w:val="4E807407"/>
    <w:rsid w:val="4E8835CF"/>
    <w:rsid w:val="4E8929D8"/>
    <w:rsid w:val="4E8A5B90"/>
    <w:rsid w:val="4E915170"/>
    <w:rsid w:val="4E962786"/>
    <w:rsid w:val="4E963AD4"/>
    <w:rsid w:val="4E964534"/>
    <w:rsid w:val="4E9E5ADF"/>
    <w:rsid w:val="4EA41527"/>
    <w:rsid w:val="4EA529C9"/>
    <w:rsid w:val="4EAC1FAA"/>
    <w:rsid w:val="4EB943FF"/>
    <w:rsid w:val="4EBB1005"/>
    <w:rsid w:val="4EBC2054"/>
    <w:rsid w:val="4EBE045C"/>
    <w:rsid w:val="4EBF1610"/>
    <w:rsid w:val="4EC13941"/>
    <w:rsid w:val="4EC33B38"/>
    <w:rsid w:val="4EC53E26"/>
    <w:rsid w:val="4EC82ED7"/>
    <w:rsid w:val="4ECA0682"/>
    <w:rsid w:val="4ECA2A73"/>
    <w:rsid w:val="4ECD4DF4"/>
    <w:rsid w:val="4ECE67ED"/>
    <w:rsid w:val="4ED60DD5"/>
    <w:rsid w:val="4ED67027"/>
    <w:rsid w:val="4ED80FF1"/>
    <w:rsid w:val="4EDD2163"/>
    <w:rsid w:val="4EDD6C67"/>
    <w:rsid w:val="4EDE5EDB"/>
    <w:rsid w:val="4EDF5331"/>
    <w:rsid w:val="4EE22FAA"/>
    <w:rsid w:val="4EE259CC"/>
    <w:rsid w:val="4EE2777A"/>
    <w:rsid w:val="4EEC684A"/>
    <w:rsid w:val="4EEF1E97"/>
    <w:rsid w:val="4EF13E61"/>
    <w:rsid w:val="4EF235C4"/>
    <w:rsid w:val="4EF23735"/>
    <w:rsid w:val="4EF56A9D"/>
    <w:rsid w:val="4EF61477"/>
    <w:rsid w:val="4EF63225"/>
    <w:rsid w:val="4EFB4CDF"/>
    <w:rsid w:val="4F046856"/>
    <w:rsid w:val="4F050463"/>
    <w:rsid w:val="4F06156E"/>
    <w:rsid w:val="4F082CCA"/>
    <w:rsid w:val="4F0A15BF"/>
    <w:rsid w:val="4F1042C2"/>
    <w:rsid w:val="4F1162B1"/>
    <w:rsid w:val="4F155DA1"/>
    <w:rsid w:val="4F1B0EDE"/>
    <w:rsid w:val="4F1C3754"/>
    <w:rsid w:val="4F1F09CE"/>
    <w:rsid w:val="4F1F277C"/>
    <w:rsid w:val="4F2007CF"/>
    <w:rsid w:val="4F207E1B"/>
    <w:rsid w:val="4F27567B"/>
    <w:rsid w:val="4F2A1121"/>
    <w:rsid w:val="4F3512C2"/>
    <w:rsid w:val="4F361272"/>
    <w:rsid w:val="4F362DBD"/>
    <w:rsid w:val="4F3B1580"/>
    <w:rsid w:val="4F3B2696"/>
    <w:rsid w:val="4F3D4433"/>
    <w:rsid w:val="4F3F2E1E"/>
    <w:rsid w:val="4F4246BC"/>
    <w:rsid w:val="4F4915A7"/>
    <w:rsid w:val="4F493C9D"/>
    <w:rsid w:val="4F497DD9"/>
    <w:rsid w:val="4F4C469A"/>
    <w:rsid w:val="4F526EA3"/>
    <w:rsid w:val="4F5B577E"/>
    <w:rsid w:val="4F5E5EFB"/>
    <w:rsid w:val="4F6044B4"/>
    <w:rsid w:val="4F63587C"/>
    <w:rsid w:val="4F701229"/>
    <w:rsid w:val="4F77643F"/>
    <w:rsid w:val="4F781E8C"/>
    <w:rsid w:val="4F7C7BCE"/>
    <w:rsid w:val="4F800FC6"/>
    <w:rsid w:val="4F89451D"/>
    <w:rsid w:val="4F8970B4"/>
    <w:rsid w:val="4F922267"/>
    <w:rsid w:val="4F952A3E"/>
    <w:rsid w:val="4FAC74A8"/>
    <w:rsid w:val="4FB07878"/>
    <w:rsid w:val="4FB1539E"/>
    <w:rsid w:val="4FB76E58"/>
    <w:rsid w:val="4FBA6948"/>
    <w:rsid w:val="4FBF7ABB"/>
    <w:rsid w:val="4FC01967"/>
    <w:rsid w:val="4FC155E1"/>
    <w:rsid w:val="4FC43323"/>
    <w:rsid w:val="4FC74BC1"/>
    <w:rsid w:val="4FC77A7E"/>
    <w:rsid w:val="4FC77B7E"/>
    <w:rsid w:val="4FCA1505"/>
    <w:rsid w:val="4FCD4BE6"/>
    <w:rsid w:val="4FD36466"/>
    <w:rsid w:val="4FD57980"/>
    <w:rsid w:val="4FDA48F5"/>
    <w:rsid w:val="4FDB55B1"/>
    <w:rsid w:val="4FDC066D"/>
    <w:rsid w:val="4FE265AB"/>
    <w:rsid w:val="4FE614EB"/>
    <w:rsid w:val="4FE85264"/>
    <w:rsid w:val="4FE9350C"/>
    <w:rsid w:val="4FEB6B02"/>
    <w:rsid w:val="4FEE65F2"/>
    <w:rsid w:val="4FEE6F8F"/>
    <w:rsid w:val="4FF21C3E"/>
    <w:rsid w:val="4FF35CDD"/>
    <w:rsid w:val="4FF43C08"/>
    <w:rsid w:val="4FF652DA"/>
    <w:rsid w:val="4FFD504C"/>
    <w:rsid w:val="4FFF4994"/>
    <w:rsid w:val="500074A0"/>
    <w:rsid w:val="50010D46"/>
    <w:rsid w:val="5006393C"/>
    <w:rsid w:val="500A570C"/>
    <w:rsid w:val="500B0F52"/>
    <w:rsid w:val="500F5E19"/>
    <w:rsid w:val="50112543"/>
    <w:rsid w:val="50210776"/>
    <w:rsid w:val="502344EE"/>
    <w:rsid w:val="50243DC2"/>
    <w:rsid w:val="50256004"/>
    <w:rsid w:val="50285660"/>
    <w:rsid w:val="50313D73"/>
    <w:rsid w:val="50334005"/>
    <w:rsid w:val="50354221"/>
    <w:rsid w:val="50380C40"/>
    <w:rsid w:val="503C735D"/>
    <w:rsid w:val="503D056A"/>
    <w:rsid w:val="50425512"/>
    <w:rsid w:val="50446212"/>
    <w:rsid w:val="50454449"/>
    <w:rsid w:val="504626C4"/>
    <w:rsid w:val="50493828"/>
    <w:rsid w:val="504E2B1F"/>
    <w:rsid w:val="50506965"/>
    <w:rsid w:val="50526E07"/>
    <w:rsid w:val="50597F0F"/>
    <w:rsid w:val="505A5A36"/>
    <w:rsid w:val="505E75BC"/>
    <w:rsid w:val="50610B72"/>
    <w:rsid w:val="50644800"/>
    <w:rsid w:val="506806E2"/>
    <w:rsid w:val="50681F00"/>
    <w:rsid w:val="50697A27"/>
    <w:rsid w:val="506A5C79"/>
    <w:rsid w:val="506F14E1"/>
    <w:rsid w:val="507451BD"/>
    <w:rsid w:val="50746AF7"/>
    <w:rsid w:val="50753961"/>
    <w:rsid w:val="507C3BFE"/>
    <w:rsid w:val="50813487"/>
    <w:rsid w:val="50854CBB"/>
    <w:rsid w:val="508D1967"/>
    <w:rsid w:val="50903205"/>
    <w:rsid w:val="50914A40"/>
    <w:rsid w:val="5095122C"/>
    <w:rsid w:val="509915DE"/>
    <w:rsid w:val="50A62A29"/>
    <w:rsid w:val="50A8054F"/>
    <w:rsid w:val="50BF63A3"/>
    <w:rsid w:val="50C07F8E"/>
    <w:rsid w:val="50C335DB"/>
    <w:rsid w:val="50C57DF5"/>
    <w:rsid w:val="50CA5A7A"/>
    <w:rsid w:val="50CB0986"/>
    <w:rsid w:val="50CB4CA3"/>
    <w:rsid w:val="50CF3D2E"/>
    <w:rsid w:val="50D127DD"/>
    <w:rsid w:val="50D72D62"/>
    <w:rsid w:val="50D94BAC"/>
    <w:rsid w:val="50DE21C3"/>
    <w:rsid w:val="50E27F05"/>
    <w:rsid w:val="50E37335"/>
    <w:rsid w:val="50F55818"/>
    <w:rsid w:val="50F55997"/>
    <w:rsid w:val="50F82136"/>
    <w:rsid w:val="50F934A0"/>
    <w:rsid w:val="50FF3883"/>
    <w:rsid w:val="51043BAD"/>
    <w:rsid w:val="51053BF3"/>
    <w:rsid w:val="51076308"/>
    <w:rsid w:val="510A745C"/>
    <w:rsid w:val="510C6D30"/>
    <w:rsid w:val="51107C39"/>
    <w:rsid w:val="51167BAE"/>
    <w:rsid w:val="51173258"/>
    <w:rsid w:val="511D2CEB"/>
    <w:rsid w:val="51316796"/>
    <w:rsid w:val="51327D5D"/>
    <w:rsid w:val="51334730"/>
    <w:rsid w:val="5138155E"/>
    <w:rsid w:val="51383FC9"/>
    <w:rsid w:val="513D513B"/>
    <w:rsid w:val="513F7105"/>
    <w:rsid w:val="51404C2B"/>
    <w:rsid w:val="51422751"/>
    <w:rsid w:val="514364CA"/>
    <w:rsid w:val="514A5AAA"/>
    <w:rsid w:val="514B38CA"/>
    <w:rsid w:val="514C35D0"/>
    <w:rsid w:val="514E559A"/>
    <w:rsid w:val="51601C9E"/>
    <w:rsid w:val="51627F8A"/>
    <w:rsid w:val="51636AA6"/>
    <w:rsid w:val="51646B6C"/>
    <w:rsid w:val="516A3A56"/>
    <w:rsid w:val="516B75CE"/>
    <w:rsid w:val="516E0FBE"/>
    <w:rsid w:val="51710969"/>
    <w:rsid w:val="51736DAF"/>
    <w:rsid w:val="51770C98"/>
    <w:rsid w:val="51786173"/>
    <w:rsid w:val="517A029D"/>
    <w:rsid w:val="517A718D"/>
    <w:rsid w:val="517B58C5"/>
    <w:rsid w:val="51826919"/>
    <w:rsid w:val="518323E5"/>
    <w:rsid w:val="51844B18"/>
    <w:rsid w:val="51937451"/>
    <w:rsid w:val="51960CEF"/>
    <w:rsid w:val="51A11B6E"/>
    <w:rsid w:val="51A451BA"/>
    <w:rsid w:val="51A90A23"/>
    <w:rsid w:val="51AC22C1"/>
    <w:rsid w:val="51B5498B"/>
    <w:rsid w:val="51B7313F"/>
    <w:rsid w:val="51B84B13"/>
    <w:rsid w:val="51BA49DE"/>
    <w:rsid w:val="51C40379"/>
    <w:rsid w:val="51D23762"/>
    <w:rsid w:val="51D3292F"/>
    <w:rsid w:val="51D51818"/>
    <w:rsid w:val="51D610EC"/>
    <w:rsid w:val="51D81308"/>
    <w:rsid w:val="51D830B6"/>
    <w:rsid w:val="51E332DC"/>
    <w:rsid w:val="51E8156C"/>
    <w:rsid w:val="51E867F8"/>
    <w:rsid w:val="51E919E3"/>
    <w:rsid w:val="51E95F6B"/>
    <w:rsid w:val="51EA6B57"/>
    <w:rsid w:val="51EB2DE9"/>
    <w:rsid w:val="51EE4687"/>
    <w:rsid w:val="51EF2710"/>
    <w:rsid w:val="51F37EF0"/>
    <w:rsid w:val="51F7178E"/>
    <w:rsid w:val="51F779E0"/>
    <w:rsid w:val="51F85506"/>
    <w:rsid w:val="520172D3"/>
    <w:rsid w:val="52026911"/>
    <w:rsid w:val="520727CB"/>
    <w:rsid w:val="520878B1"/>
    <w:rsid w:val="520E2F00"/>
    <w:rsid w:val="5210011D"/>
    <w:rsid w:val="52100AA2"/>
    <w:rsid w:val="521045FE"/>
    <w:rsid w:val="52107787"/>
    <w:rsid w:val="522871DE"/>
    <w:rsid w:val="522A1B75"/>
    <w:rsid w:val="522E717A"/>
    <w:rsid w:val="52344790"/>
    <w:rsid w:val="52350508"/>
    <w:rsid w:val="523522B6"/>
    <w:rsid w:val="52450697"/>
    <w:rsid w:val="52454F48"/>
    <w:rsid w:val="52466271"/>
    <w:rsid w:val="52495D62"/>
    <w:rsid w:val="524A221A"/>
    <w:rsid w:val="524A3FB4"/>
    <w:rsid w:val="525041A5"/>
    <w:rsid w:val="52524C16"/>
    <w:rsid w:val="52526736"/>
    <w:rsid w:val="52582AF8"/>
    <w:rsid w:val="525C3CE7"/>
    <w:rsid w:val="525D4D14"/>
    <w:rsid w:val="525E297F"/>
    <w:rsid w:val="525F5585"/>
    <w:rsid w:val="526B0E22"/>
    <w:rsid w:val="526C26AF"/>
    <w:rsid w:val="526C6C78"/>
    <w:rsid w:val="526D1A50"/>
    <w:rsid w:val="52742DDF"/>
    <w:rsid w:val="527C7EE5"/>
    <w:rsid w:val="527D07C0"/>
    <w:rsid w:val="528607AE"/>
    <w:rsid w:val="52860D64"/>
    <w:rsid w:val="52871B8B"/>
    <w:rsid w:val="528B0128"/>
    <w:rsid w:val="528F2D3C"/>
    <w:rsid w:val="52952D55"/>
    <w:rsid w:val="529625ED"/>
    <w:rsid w:val="529671F9"/>
    <w:rsid w:val="52976ACD"/>
    <w:rsid w:val="529A65BD"/>
    <w:rsid w:val="529F4808"/>
    <w:rsid w:val="52AA7448"/>
    <w:rsid w:val="52AD009F"/>
    <w:rsid w:val="52AD62F0"/>
    <w:rsid w:val="52B000A2"/>
    <w:rsid w:val="52B4767F"/>
    <w:rsid w:val="52B557D3"/>
    <w:rsid w:val="52BB6C5F"/>
    <w:rsid w:val="52BB7C32"/>
    <w:rsid w:val="52C57CD8"/>
    <w:rsid w:val="52C8137C"/>
    <w:rsid w:val="52C8312A"/>
    <w:rsid w:val="52CD6993"/>
    <w:rsid w:val="52CE0D7C"/>
    <w:rsid w:val="52D03E49"/>
    <w:rsid w:val="52D33F7E"/>
    <w:rsid w:val="52D47072"/>
    <w:rsid w:val="52DA385F"/>
    <w:rsid w:val="52DC2732"/>
    <w:rsid w:val="52E02222"/>
    <w:rsid w:val="52E23521"/>
    <w:rsid w:val="52E2509D"/>
    <w:rsid w:val="52E45BB4"/>
    <w:rsid w:val="52E77226"/>
    <w:rsid w:val="52EA7BC9"/>
    <w:rsid w:val="52EE4B2D"/>
    <w:rsid w:val="52EF4B5B"/>
    <w:rsid w:val="52EF6909"/>
    <w:rsid w:val="52F12681"/>
    <w:rsid w:val="52F127C4"/>
    <w:rsid w:val="52F537F4"/>
    <w:rsid w:val="52F92328"/>
    <w:rsid w:val="53034162"/>
    <w:rsid w:val="53065A01"/>
    <w:rsid w:val="530F7A9E"/>
    <w:rsid w:val="53121514"/>
    <w:rsid w:val="53136858"/>
    <w:rsid w:val="5314528E"/>
    <w:rsid w:val="53192AD0"/>
    <w:rsid w:val="5325285E"/>
    <w:rsid w:val="5328619A"/>
    <w:rsid w:val="5337773E"/>
    <w:rsid w:val="53407165"/>
    <w:rsid w:val="53446C55"/>
    <w:rsid w:val="534C3D5B"/>
    <w:rsid w:val="534E25BF"/>
    <w:rsid w:val="534E7AD3"/>
    <w:rsid w:val="534F1156"/>
    <w:rsid w:val="534F73A8"/>
    <w:rsid w:val="534F78EF"/>
    <w:rsid w:val="535111B8"/>
    <w:rsid w:val="535202B2"/>
    <w:rsid w:val="53536E98"/>
    <w:rsid w:val="535A4FE1"/>
    <w:rsid w:val="535D4CBE"/>
    <w:rsid w:val="53605111"/>
    <w:rsid w:val="53643F0B"/>
    <w:rsid w:val="536763BE"/>
    <w:rsid w:val="53690469"/>
    <w:rsid w:val="536F2A5D"/>
    <w:rsid w:val="53795458"/>
    <w:rsid w:val="537A29BB"/>
    <w:rsid w:val="53897152"/>
    <w:rsid w:val="538E7ED0"/>
    <w:rsid w:val="53915C12"/>
    <w:rsid w:val="5393027C"/>
    <w:rsid w:val="5394300C"/>
    <w:rsid w:val="53984311"/>
    <w:rsid w:val="53991A43"/>
    <w:rsid w:val="539A377A"/>
    <w:rsid w:val="539A4236"/>
    <w:rsid w:val="539C27AA"/>
    <w:rsid w:val="53A05E55"/>
    <w:rsid w:val="53A07C03"/>
    <w:rsid w:val="53A5346C"/>
    <w:rsid w:val="53AB0A82"/>
    <w:rsid w:val="53AB5F66"/>
    <w:rsid w:val="53B953CF"/>
    <w:rsid w:val="53D2659E"/>
    <w:rsid w:val="53D33B35"/>
    <w:rsid w:val="53D855EF"/>
    <w:rsid w:val="53DB1569"/>
    <w:rsid w:val="53DB6E8D"/>
    <w:rsid w:val="53DF3B58"/>
    <w:rsid w:val="53DF5375"/>
    <w:rsid w:val="53E2021C"/>
    <w:rsid w:val="53E454A6"/>
    <w:rsid w:val="53E45E04"/>
    <w:rsid w:val="53E54C21"/>
    <w:rsid w:val="53E73A84"/>
    <w:rsid w:val="53E8639B"/>
    <w:rsid w:val="53E93358"/>
    <w:rsid w:val="53EC6BE3"/>
    <w:rsid w:val="53F561A1"/>
    <w:rsid w:val="53FB308C"/>
    <w:rsid w:val="5406019B"/>
    <w:rsid w:val="54071A30"/>
    <w:rsid w:val="54077C82"/>
    <w:rsid w:val="540B6C21"/>
    <w:rsid w:val="541008E5"/>
    <w:rsid w:val="54102FDB"/>
    <w:rsid w:val="54105FBF"/>
    <w:rsid w:val="54161C73"/>
    <w:rsid w:val="541A3E91"/>
    <w:rsid w:val="541F6D7A"/>
    <w:rsid w:val="541F781E"/>
    <w:rsid w:val="542645AC"/>
    <w:rsid w:val="542E121E"/>
    <w:rsid w:val="542E1BCC"/>
    <w:rsid w:val="543202FF"/>
    <w:rsid w:val="543737E4"/>
    <w:rsid w:val="543B7A33"/>
    <w:rsid w:val="5449029B"/>
    <w:rsid w:val="544B3230"/>
    <w:rsid w:val="544B7B6F"/>
    <w:rsid w:val="544D7D8B"/>
    <w:rsid w:val="545033D7"/>
    <w:rsid w:val="54523C65"/>
    <w:rsid w:val="545253A1"/>
    <w:rsid w:val="54552C1E"/>
    <w:rsid w:val="5459310E"/>
    <w:rsid w:val="545A3A37"/>
    <w:rsid w:val="545B02AD"/>
    <w:rsid w:val="545F186C"/>
    <w:rsid w:val="545F1F94"/>
    <w:rsid w:val="545F361A"/>
    <w:rsid w:val="5463688A"/>
    <w:rsid w:val="546405AA"/>
    <w:rsid w:val="54640C31"/>
    <w:rsid w:val="54662BFB"/>
    <w:rsid w:val="546636EF"/>
    <w:rsid w:val="546930E5"/>
    <w:rsid w:val="54696247"/>
    <w:rsid w:val="547057D6"/>
    <w:rsid w:val="5470605E"/>
    <w:rsid w:val="547075D6"/>
    <w:rsid w:val="5472334E"/>
    <w:rsid w:val="54752E3E"/>
    <w:rsid w:val="547804A9"/>
    <w:rsid w:val="547D19A4"/>
    <w:rsid w:val="54837309"/>
    <w:rsid w:val="54A11A3A"/>
    <w:rsid w:val="54AC72FA"/>
    <w:rsid w:val="54AE1581"/>
    <w:rsid w:val="54B35714"/>
    <w:rsid w:val="54B96FBF"/>
    <w:rsid w:val="54BE47E5"/>
    <w:rsid w:val="54BF665A"/>
    <w:rsid w:val="54C067AF"/>
    <w:rsid w:val="54CA318A"/>
    <w:rsid w:val="54CB4BD7"/>
    <w:rsid w:val="54CE3D55"/>
    <w:rsid w:val="54D72E87"/>
    <w:rsid w:val="54D74791"/>
    <w:rsid w:val="54E12281"/>
    <w:rsid w:val="54E3249D"/>
    <w:rsid w:val="54E97432"/>
    <w:rsid w:val="54F82F62"/>
    <w:rsid w:val="54FB1595"/>
    <w:rsid w:val="54FB77E7"/>
    <w:rsid w:val="54FC530D"/>
    <w:rsid w:val="54FC70BB"/>
    <w:rsid w:val="55052414"/>
    <w:rsid w:val="550C01A0"/>
    <w:rsid w:val="55102B67"/>
    <w:rsid w:val="55111B85"/>
    <w:rsid w:val="55111BF1"/>
    <w:rsid w:val="551268DF"/>
    <w:rsid w:val="55144405"/>
    <w:rsid w:val="551C3B2B"/>
    <w:rsid w:val="552260F8"/>
    <w:rsid w:val="552F06EC"/>
    <w:rsid w:val="5531145B"/>
    <w:rsid w:val="55360BD2"/>
    <w:rsid w:val="55393E6B"/>
    <w:rsid w:val="55394599"/>
    <w:rsid w:val="553B5E36"/>
    <w:rsid w:val="553C1F67"/>
    <w:rsid w:val="55424661"/>
    <w:rsid w:val="55434CEA"/>
    <w:rsid w:val="554B52DB"/>
    <w:rsid w:val="554C0053"/>
    <w:rsid w:val="554D4C2F"/>
    <w:rsid w:val="554F4292"/>
    <w:rsid w:val="55535E25"/>
    <w:rsid w:val="55555060"/>
    <w:rsid w:val="555650C2"/>
    <w:rsid w:val="55603AEE"/>
    <w:rsid w:val="5560589C"/>
    <w:rsid w:val="556075EF"/>
    <w:rsid w:val="55653FD6"/>
    <w:rsid w:val="5566176C"/>
    <w:rsid w:val="556E620B"/>
    <w:rsid w:val="55757355"/>
    <w:rsid w:val="55794BB0"/>
    <w:rsid w:val="557E5D22"/>
    <w:rsid w:val="558009D4"/>
    <w:rsid w:val="55807CEC"/>
    <w:rsid w:val="55837931"/>
    <w:rsid w:val="55853555"/>
    <w:rsid w:val="558C48E3"/>
    <w:rsid w:val="55902895"/>
    <w:rsid w:val="55911B18"/>
    <w:rsid w:val="559A7000"/>
    <w:rsid w:val="55A22DB5"/>
    <w:rsid w:val="55A35789"/>
    <w:rsid w:val="55A7171D"/>
    <w:rsid w:val="55A958C6"/>
    <w:rsid w:val="55AC288F"/>
    <w:rsid w:val="55B00A91"/>
    <w:rsid w:val="55B02A26"/>
    <w:rsid w:val="55B41CE1"/>
    <w:rsid w:val="55B86A0A"/>
    <w:rsid w:val="55BF1578"/>
    <w:rsid w:val="55C220B3"/>
    <w:rsid w:val="55C51BA3"/>
    <w:rsid w:val="55C74EC6"/>
    <w:rsid w:val="55CA613D"/>
    <w:rsid w:val="55CD6F67"/>
    <w:rsid w:val="55DB4F23"/>
    <w:rsid w:val="55E0566F"/>
    <w:rsid w:val="55E669E7"/>
    <w:rsid w:val="55EB160A"/>
    <w:rsid w:val="55EC5382"/>
    <w:rsid w:val="55EF0F8B"/>
    <w:rsid w:val="55F142E4"/>
    <w:rsid w:val="55F54236"/>
    <w:rsid w:val="55F6752A"/>
    <w:rsid w:val="55F67FAE"/>
    <w:rsid w:val="55F90EDC"/>
    <w:rsid w:val="55F935FB"/>
    <w:rsid w:val="55FF3307"/>
    <w:rsid w:val="5608275E"/>
    <w:rsid w:val="56114DE8"/>
    <w:rsid w:val="561548D9"/>
    <w:rsid w:val="561843C9"/>
    <w:rsid w:val="56220DA3"/>
    <w:rsid w:val="562534C2"/>
    <w:rsid w:val="56254D28"/>
    <w:rsid w:val="56282EFB"/>
    <w:rsid w:val="562A4780"/>
    <w:rsid w:val="563201CD"/>
    <w:rsid w:val="563665FD"/>
    <w:rsid w:val="563A7E9B"/>
    <w:rsid w:val="563D798B"/>
    <w:rsid w:val="563F1955"/>
    <w:rsid w:val="563F3703"/>
    <w:rsid w:val="56464A92"/>
    <w:rsid w:val="564753B1"/>
    <w:rsid w:val="56484A62"/>
    <w:rsid w:val="564927D4"/>
    <w:rsid w:val="564B2FBE"/>
    <w:rsid w:val="564C0E3E"/>
    <w:rsid w:val="564E7DEA"/>
    <w:rsid w:val="565229C6"/>
    <w:rsid w:val="56570A4D"/>
    <w:rsid w:val="565847C5"/>
    <w:rsid w:val="565D06CF"/>
    <w:rsid w:val="565E32CD"/>
    <w:rsid w:val="565E627F"/>
    <w:rsid w:val="5663173A"/>
    <w:rsid w:val="566D69A1"/>
    <w:rsid w:val="56705F15"/>
    <w:rsid w:val="56707D7F"/>
    <w:rsid w:val="56725887"/>
    <w:rsid w:val="56757125"/>
    <w:rsid w:val="56811F6E"/>
    <w:rsid w:val="56821842"/>
    <w:rsid w:val="568654C8"/>
    <w:rsid w:val="568830D5"/>
    <w:rsid w:val="56886A73"/>
    <w:rsid w:val="56892BD1"/>
    <w:rsid w:val="56897CA9"/>
    <w:rsid w:val="568B4B9B"/>
    <w:rsid w:val="568C3EF5"/>
    <w:rsid w:val="568D1459"/>
    <w:rsid w:val="568D26C1"/>
    <w:rsid w:val="56921A85"/>
    <w:rsid w:val="5699607E"/>
    <w:rsid w:val="569E0EBC"/>
    <w:rsid w:val="56A17F1A"/>
    <w:rsid w:val="56A417B8"/>
    <w:rsid w:val="56A6259C"/>
    <w:rsid w:val="56B063AF"/>
    <w:rsid w:val="56B14076"/>
    <w:rsid w:val="56B20379"/>
    <w:rsid w:val="56B61EF9"/>
    <w:rsid w:val="56C451F9"/>
    <w:rsid w:val="56C65BD3"/>
    <w:rsid w:val="56C97A1B"/>
    <w:rsid w:val="56CB4B15"/>
    <w:rsid w:val="56CD6F61"/>
    <w:rsid w:val="56D007FF"/>
    <w:rsid w:val="56DF0A43"/>
    <w:rsid w:val="56E15520"/>
    <w:rsid w:val="56E96015"/>
    <w:rsid w:val="56F21D1F"/>
    <w:rsid w:val="56FA69A2"/>
    <w:rsid w:val="57066609"/>
    <w:rsid w:val="570C1274"/>
    <w:rsid w:val="57144B90"/>
    <w:rsid w:val="57193F55"/>
    <w:rsid w:val="571C1C97"/>
    <w:rsid w:val="571D0F95"/>
    <w:rsid w:val="571D66C1"/>
    <w:rsid w:val="571E77BD"/>
    <w:rsid w:val="57233025"/>
    <w:rsid w:val="57236B81"/>
    <w:rsid w:val="57264A68"/>
    <w:rsid w:val="57284198"/>
    <w:rsid w:val="572B1EDA"/>
    <w:rsid w:val="573174F0"/>
    <w:rsid w:val="5737087F"/>
    <w:rsid w:val="5737262D"/>
    <w:rsid w:val="57416935"/>
    <w:rsid w:val="57442C52"/>
    <w:rsid w:val="57476D14"/>
    <w:rsid w:val="574D1884"/>
    <w:rsid w:val="574E7A33"/>
    <w:rsid w:val="574F3204"/>
    <w:rsid w:val="575136EE"/>
    <w:rsid w:val="575212BA"/>
    <w:rsid w:val="575256B8"/>
    <w:rsid w:val="57593F74"/>
    <w:rsid w:val="575A3FE2"/>
    <w:rsid w:val="57601B83"/>
    <w:rsid w:val="57607DD5"/>
    <w:rsid w:val="576556E7"/>
    <w:rsid w:val="57686C8A"/>
    <w:rsid w:val="576879D2"/>
    <w:rsid w:val="57723665"/>
    <w:rsid w:val="57733D2F"/>
    <w:rsid w:val="57753679"/>
    <w:rsid w:val="57757B5A"/>
    <w:rsid w:val="577B3CF0"/>
    <w:rsid w:val="577B4C0F"/>
    <w:rsid w:val="577C4F1F"/>
    <w:rsid w:val="57802226"/>
    <w:rsid w:val="57812019"/>
    <w:rsid w:val="57827D4C"/>
    <w:rsid w:val="578735A9"/>
    <w:rsid w:val="578A14DE"/>
    <w:rsid w:val="578E10F4"/>
    <w:rsid w:val="57976C0D"/>
    <w:rsid w:val="57A2219C"/>
    <w:rsid w:val="57A62198"/>
    <w:rsid w:val="57A8588A"/>
    <w:rsid w:val="57B27F05"/>
    <w:rsid w:val="57B70ED4"/>
    <w:rsid w:val="57B819BF"/>
    <w:rsid w:val="57BD3B84"/>
    <w:rsid w:val="57C2639A"/>
    <w:rsid w:val="57C71C02"/>
    <w:rsid w:val="57CC0FC7"/>
    <w:rsid w:val="57D80DE6"/>
    <w:rsid w:val="57D83E10"/>
    <w:rsid w:val="57D879A1"/>
    <w:rsid w:val="57DB3854"/>
    <w:rsid w:val="57DF152F"/>
    <w:rsid w:val="57E125B0"/>
    <w:rsid w:val="57E207EA"/>
    <w:rsid w:val="57E35657"/>
    <w:rsid w:val="57E36310"/>
    <w:rsid w:val="57E73521"/>
    <w:rsid w:val="57E86344"/>
    <w:rsid w:val="57E9601D"/>
    <w:rsid w:val="57EB4F2D"/>
    <w:rsid w:val="57F56770"/>
    <w:rsid w:val="57FC12F2"/>
    <w:rsid w:val="57FC2B8C"/>
    <w:rsid w:val="57FF75EE"/>
    <w:rsid w:val="58032DE8"/>
    <w:rsid w:val="58055AE5"/>
    <w:rsid w:val="580A007B"/>
    <w:rsid w:val="580A7198"/>
    <w:rsid w:val="580B072C"/>
    <w:rsid w:val="580E5A83"/>
    <w:rsid w:val="580F5357"/>
    <w:rsid w:val="58155038"/>
    <w:rsid w:val="581A7F84"/>
    <w:rsid w:val="581E3FA7"/>
    <w:rsid w:val="581E7333"/>
    <w:rsid w:val="582157B7"/>
    <w:rsid w:val="5822508B"/>
    <w:rsid w:val="582C5F09"/>
    <w:rsid w:val="582E05C9"/>
    <w:rsid w:val="583104BA"/>
    <w:rsid w:val="583125A6"/>
    <w:rsid w:val="58374DE6"/>
    <w:rsid w:val="58380FAE"/>
    <w:rsid w:val="583D1EC5"/>
    <w:rsid w:val="583D26B7"/>
    <w:rsid w:val="583D4DA5"/>
    <w:rsid w:val="58414DFD"/>
    <w:rsid w:val="5847689F"/>
    <w:rsid w:val="584B2834"/>
    <w:rsid w:val="584B6156"/>
    <w:rsid w:val="584D6FDE"/>
    <w:rsid w:val="584E7C2E"/>
    <w:rsid w:val="58515970"/>
    <w:rsid w:val="58523BC2"/>
    <w:rsid w:val="5862192B"/>
    <w:rsid w:val="5872215D"/>
    <w:rsid w:val="587873A1"/>
    <w:rsid w:val="58810208"/>
    <w:rsid w:val="5883000F"/>
    <w:rsid w:val="5883170A"/>
    <w:rsid w:val="5886050C"/>
    <w:rsid w:val="588B2C30"/>
    <w:rsid w:val="588C4742"/>
    <w:rsid w:val="588E4C20"/>
    <w:rsid w:val="58920462"/>
    <w:rsid w:val="589C58DF"/>
    <w:rsid w:val="589D2963"/>
    <w:rsid w:val="589D39A5"/>
    <w:rsid w:val="589E1E04"/>
    <w:rsid w:val="58A27F7A"/>
    <w:rsid w:val="58A40196"/>
    <w:rsid w:val="58A54EA6"/>
    <w:rsid w:val="58A93FB3"/>
    <w:rsid w:val="58AD49B9"/>
    <w:rsid w:val="58B02697"/>
    <w:rsid w:val="58B931DA"/>
    <w:rsid w:val="58BC0DC9"/>
    <w:rsid w:val="58BE3005"/>
    <w:rsid w:val="58C351E1"/>
    <w:rsid w:val="58D24E9A"/>
    <w:rsid w:val="58DE5456"/>
    <w:rsid w:val="58DF41BD"/>
    <w:rsid w:val="58E01ECD"/>
    <w:rsid w:val="58E66663"/>
    <w:rsid w:val="58E7506F"/>
    <w:rsid w:val="58EA0B58"/>
    <w:rsid w:val="58EB1921"/>
    <w:rsid w:val="58EC5D11"/>
    <w:rsid w:val="58F55C89"/>
    <w:rsid w:val="59073C63"/>
    <w:rsid w:val="590D2E0A"/>
    <w:rsid w:val="591075D9"/>
    <w:rsid w:val="591470C9"/>
    <w:rsid w:val="59162E41"/>
    <w:rsid w:val="591C7D2C"/>
    <w:rsid w:val="591D7211"/>
    <w:rsid w:val="591E1CF6"/>
    <w:rsid w:val="59206B69"/>
    <w:rsid w:val="59215342"/>
    <w:rsid w:val="59227198"/>
    <w:rsid w:val="59232E69"/>
    <w:rsid w:val="59262CD9"/>
    <w:rsid w:val="59275C0B"/>
    <w:rsid w:val="592941F7"/>
    <w:rsid w:val="592A5067"/>
    <w:rsid w:val="592E7851"/>
    <w:rsid w:val="593908DE"/>
    <w:rsid w:val="59407EBE"/>
    <w:rsid w:val="594939D2"/>
    <w:rsid w:val="594A51E4"/>
    <w:rsid w:val="59501808"/>
    <w:rsid w:val="595353A2"/>
    <w:rsid w:val="595474C6"/>
    <w:rsid w:val="59561490"/>
    <w:rsid w:val="5957051D"/>
    <w:rsid w:val="595A246A"/>
    <w:rsid w:val="5960230F"/>
    <w:rsid w:val="59623F3E"/>
    <w:rsid w:val="5966544B"/>
    <w:rsid w:val="596965CB"/>
    <w:rsid w:val="596A1D77"/>
    <w:rsid w:val="596A4F3B"/>
    <w:rsid w:val="596B480F"/>
    <w:rsid w:val="596F60AE"/>
    <w:rsid w:val="597015B0"/>
    <w:rsid w:val="597638E0"/>
    <w:rsid w:val="597C69BB"/>
    <w:rsid w:val="597E2795"/>
    <w:rsid w:val="5980475F"/>
    <w:rsid w:val="598219FF"/>
    <w:rsid w:val="59837DAB"/>
    <w:rsid w:val="598A2EE8"/>
    <w:rsid w:val="5991555C"/>
    <w:rsid w:val="599C0323"/>
    <w:rsid w:val="599C0E6D"/>
    <w:rsid w:val="599E5EFF"/>
    <w:rsid w:val="59A3044D"/>
    <w:rsid w:val="59A321FB"/>
    <w:rsid w:val="59A62634"/>
    <w:rsid w:val="59A71CEC"/>
    <w:rsid w:val="59AC7302"/>
    <w:rsid w:val="59AD044C"/>
    <w:rsid w:val="59AF0EEB"/>
    <w:rsid w:val="59B44408"/>
    <w:rsid w:val="59B8232A"/>
    <w:rsid w:val="59BB12F3"/>
    <w:rsid w:val="59BB7545"/>
    <w:rsid w:val="59BE7035"/>
    <w:rsid w:val="59C503C4"/>
    <w:rsid w:val="59C73C4D"/>
    <w:rsid w:val="59C75EEA"/>
    <w:rsid w:val="59CA59DA"/>
    <w:rsid w:val="59CC59DC"/>
    <w:rsid w:val="59CE1ED1"/>
    <w:rsid w:val="59D32AE1"/>
    <w:rsid w:val="59D6437F"/>
    <w:rsid w:val="59DD74BB"/>
    <w:rsid w:val="59E24AD2"/>
    <w:rsid w:val="59E3512D"/>
    <w:rsid w:val="59E972CD"/>
    <w:rsid w:val="59EC76FE"/>
    <w:rsid w:val="59ED3496"/>
    <w:rsid w:val="59F30825"/>
    <w:rsid w:val="59F6057D"/>
    <w:rsid w:val="59F667CF"/>
    <w:rsid w:val="59F837C5"/>
    <w:rsid w:val="59FB3DE5"/>
    <w:rsid w:val="59FD35EF"/>
    <w:rsid w:val="5A012F89"/>
    <w:rsid w:val="5A0135AA"/>
    <w:rsid w:val="5A04713E"/>
    <w:rsid w:val="5A096502"/>
    <w:rsid w:val="5A0C7901"/>
    <w:rsid w:val="5A1153B7"/>
    <w:rsid w:val="5A1349DB"/>
    <w:rsid w:val="5A1352BC"/>
    <w:rsid w:val="5A146C55"/>
    <w:rsid w:val="5A1530F9"/>
    <w:rsid w:val="5A19223B"/>
    <w:rsid w:val="5A1D1FAE"/>
    <w:rsid w:val="5A1F4E71"/>
    <w:rsid w:val="5A2854D7"/>
    <w:rsid w:val="5A2A0227"/>
    <w:rsid w:val="5A307F98"/>
    <w:rsid w:val="5A380B96"/>
    <w:rsid w:val="5A386DE8"/>
    <w:rsid w:val="5A401F09"/>
    <w:rsid w:val="5A403EEE"/>
    <w:rsid w:val="5A405C9C"/>
    <w:rsid w:val="5A41794E"/>
    <w:rsid w:val="5A4532B2"/>
    <w:rsid w:val="5A493DA2"/>
    <w:rsid w:val="5A4A4453"/>
    <w:rsid w:val="5A4C4641"/>
    <w:rsid w:val="5A4D63DE"/>
    <w:rsid w:val="5A4F7C8D"/>
    <w:rsid w:val="5A514CFD"/>
    <w:rsid w:val="5A533C21"/>
    <w:rsid w:val="5A61633E"/>
    <w:rsid w:val="5A625C12"/>
    <w:rsid w:val="5A656986"/>
    <w:rsid w:val="5A697B14"/>
    <w:rsid w:val="5A6B0AD5"/>
    <w:rsid w:val="5A6F772F"/>
    <w:rsid w:val="5A7269F5"/>
    <w:rsid w:val="5A7616BE"/>
    <w:rsid w:val="5A7636CA"/>
    <w:rsid w:val="5A822680"/>
    <w:rsid w:val="5A8B33BB"/>
    <w:rsid w:val="5A8E4C59"/>
    <w:rsid w:val="5A92187A"/>
    <w:rsid w:val="5A9304C2"/>
    <w:rsid w:val="5A9760F8"/>
    <w:rsid w:val="5A9A32E3"/>
    <w:rsid w:val="5A9F29C3"/>
    <w:rsid w:val="5AA1498D"/>
    <w:rsid w:val="5AA20705"/>
    <w:rsid w:val="5AA36245"/>
    <w:rsid w:val="5AAB2674"/>
    <w:rsid w:val="5AAE2C06"/>
    <w:rsid w:val="5AB25856"/>
    <w:rsid w:val="5AB34BEC"/>
    <w:rsid w:val="5AB7558E"/>
    <w:rsid w:val="5AC02F45"/>
    <w:rsid w:val="5AC069E2"/>
    <w:rsid w:val="5AC4591C"/>
    <w:rsid w:val="5AD07020"/>
    <w:rsid w:val="5ADB09E5"/>
    <w:rsid w:val="5AE12FDB"/>
    <w:rsid w:val="5AE30232"/>
    <w:rsid w:val="5AE42ACB"/>
    <w:rsid w:val="5AF251E8"/>
    <w:rsid w:val="5AF54CD9"/>
    <w:rsid w:val="5AF80325"/>
    <w:rsid w:val="5B064ABA"/>
    <w:rsid w:val="5B070568"/>
    <w:rsid w:val="5B081FD1"/>
    <w:rsid w:val="5B09703C"/>
    <w:rsid w:val="5B0D3DD0"/>
    <w:rsid w:val="5B0E7B48"/>
    <w:rsid w:val="5B1038C0"/>
    <w:rsid w:val="5B127639"/>
    <w:rsid w:val="5B130E5C"/>
    <w:rsid w:val="5B152C85"/>
    <w:rsid w:val="5B194D39"/>
    <w:rsid w:val="5B1C2265"/>
    <w:rsid w:val="5B256C20"/>
    <w:rsid w:val="5B2829B8"/>
    <w:rsid w:val="5B2A2BD4"/>
    <w:rsid w:val="5B2B06FA"/>
    <w:rsid w:val="5B37709F"/>
    <w:rsid w:val="5B3975B6"/>
    <w:rsid w:val="5B423160"/>
    <w:rsid w:val="5B433C96"/>
    <w:rsid w:val="5B440E94"/>
    <w:rsid w:val="5B44356A"/>
    <w:rsid w:val="5B4442A1"/>
    <w:rsid w:val="5B48305A"/>
    <w:rsid w:val="5B4B48F9"/>
    <w:rsid w:val="5B50347C"/>
    <w:rsid w:val="5B523ED9"/>
    <w:rsid w:val="5B5C5C00"/>
    <w:rsid w:val="5B5D04CC"/>
    <w:rsid w:val="5B5F03A4"/>
    <w:rsid w:val="5B61411C"/>
    <w:rsid w:val="5B615C57"/>
    <w:rsid w:val="5B6360E6"/>
    <w:rsid w:val="5B653C0C"/>
    <w:rsid w:val="5B665DB8"/>
    <w:rsid w:val="5B6A1167"/>
    <w:rsid w:val="5B6B0AF7"/>
    <w:rsid w:val="5B6C14FE"/>
    <w:rsid w:val="5B7839DE"/>
    <w:rsid w:val="5B7B471F"/>
    <w:rsid w:val="5B7C076F"/>
    <w:rsid w:val="5B834092"/>
    <w:rsid w:val="5B8C60DD"/>
    <w:rsid w:val="5B8D4F11"/>
    <w:rsid w:val="5B8D6CBF"/>
    <w:rsid w:val="5B947A50"/>
    <w:rsid w:val="5B9B13DC"/>
    <w:rsid w:val="5BA34735"/>
    <w:rsid w:val="5BA504AD"/>
    <w:rsid w:val="5BA8412A"/>
    <w:rsid w:val="5BAA2595"/>
    <w:rsid w:val="5BAA691C"/>
    <w:rsid w:val="5BAD653F"/>
    <w:rsid w:val="5BAF30D9"/>
    <w:rsid w:val="5BB50125"/>
    <w:rsid w:val="5BB565E7"/>
    <w:rsid w:val="5BB61355"/>
    <w:rsid w:val="5BB701E0"/>
    <w:rsid w:val="5BB8369D"/>
    <w:rsid w:val="5BBE156E"/>
    <w:rsid w:val="5BBE50CA"/>
    <w:rsid w:val="5BCA3A6F"/>
    <w:rsid w:val="5BCB77E7"/>
    <w:rsid w:val="5BCF38DA"/>
    <w:rsid w:val="5BD14DFE"/>
    <w:rsid w:val="5BD20B76"/>
    <w:rsid w:val="5BD46E2C"/>
    <w:rsid w:val="5BE82147"/>
    <w:rsid w:val="5BEC7E8A"/>
    <w:rsid w:val="5BEF34D6"/>
    <w:rsid w:val="5BF22FC6"/>
    <w:rsid w:val="5BF30E44"/>
    <w:rsid w:val="5BFE02AE"/>
    <w:rsid w:val="5C074B91"/>
    <w:rsid w:val="5C0D0EA3"/>
    <w:rsid w:val="5C154698"/>
    <w:rsid w:val="5C163158"/>
    <w:rsid w:val="5C164F06"/>
    <w:rsid w:val="5C1D15B8"/>
    <w:rsid w:val="5C1F025F"/>
    <w:rsid w:val="5C221AFD"/>
    <w:rsid w:val="5C277114"/>
    <w:rsid w:val="5C2B7679"/>
    <w:rsid w:val="5C341831"/>
    <w:rsid w:val="5C3830CF"/>
    <w:rsid w:val="5C392920"/>
    <w:rsid w:val="5C3F04D6"/>
    <w:rsid w:val="5C44775D"/>
    <w:rsid w:val="5C4F0CF0"/>
    <w:rsid w:val="5C5721CD"/>
    <w:rsid w:val="5C623D4D"/>
    <w:rsid w:val="5C62639E"/>
    <w:rsid w:val="5C6C28AE"/>
    <w:rsid w:val="5C6F63F8"/>
    <w:rsid w:val="5C7A7798"/>
    <w:rsid w:val="5C8020D2"/>
    <w:rsid w:val="5C8173DD"/>
    <w:rsid w:val="5C82434A"/>
    <w:rsid w:val="5C86208C"/>
    <w:rsid w:val="5C891B7C"/>
    <w:rsid w:val="5C8E2CEF"/>
    <w:rsid w:val="5C98591B"/>
    <w:rsid w:val="5C987399"/>
    <w:rsid w:val="5C9C436B"/>
    <w:rsid w:val="5C9D2F32"/>
    <w:rsid w:val="5CA95D7B"/>
    <w:rsid w:val="5CAB38A1"/>
    <w:rsid w:val="5CAC586B"/>
    <w:rsid w:val="5CAC7619"/>
    <w:rsid w:val="5CAE513F"/>
    <w:rsid w:val="5CB364D3"/>
    <w:rsid w:val="5CB938BE"/>
    <w:rsid w:val="5CB96B8D"/>
    <w:rsid w:val="5CC43B25"/>
    <w:rsid w:val="5CC6692D"/>
    <w:rsid w:val="5CCA24F5"/>
    <w:rsid w:val="5CCE2030"/>
    <w:rsid w:val="5CD050B5"/>
    <w:rsid w:val="5CD14611"/>
    <w:rsid w:val="5CD31049"/>
    <w:rsid w:val="5CD5091E"/>
    <w:rsid w:val="5CD6211A"/>
    <w:rsid w:val="5CD728E8"/>
    <w:rsid w:val="5CD86660"/>
    <w:rsid w:val="5CDC6150"/>
    <w:rsid w:val="5CDC6425"/>
    <w:rsid w:val="5CE366FE"/>
    <w:rsid w:val="5CE76EA1"/>
    <w:rsid w:val="5CEA6434"/>
    <w:rsid w:val="5CF17814"/>
    <w:rsid w:val="5CF8285E"/>
    <w:rsid w:val="5CFC7DEC"/>
    <w:rsid w:val="5CFF3BED"/>
    <w:rsid w:val="5D011713"/>
    <w:rsid w:val="5D0617E4"/>
    <w:rsid w:val="5D0A08A5"/>
    <w:rsid w:val="5D0E2082"/>
    <w:rsid w:val="5D0E5BDE"/>
    <w:rsid w:val="5D0F381C"/>
    <w:rsid w:val="5D121B72"/>
    <w:rsid w:val="5D167F65"/>
    <w:rsid w:val="5D170F36"/>
    <w:rsid w:val="5D1F428F"/>
    <w:rsid w:val="5D210677"/>
    <w:rsid w:val="5D215911"/>
    <w:rsid w:val="5D290AE6"/>
    <w:rsid w:val="5D2F5519"/>
    <w:rsid w:val="5D347640"/>
    <w:rsid w:val="5D395350"/>
    <w:rsid w:val="5D3E4A7C"/>
    <w:rsid w:val="5D3F4519"/>
    <w:rsid w:val="5D4020E5"/>
    <w:rsid w:val="5D4314AF"/>
    <w:rsid w:val="5D456AA6"/>
    <w:rsid w:val="5D46181B"/>
    <w:rsid w:val="5D463B8E"/>
    <w:rsid w:val="5D4810F0"/>
    <w:rsid w:val="5D494E68"/>
    <w:rsid w:val="5D4A38EB"/>
    <w:rsid w:val="5D4B5540"/>
    <w:rsid w:val="5D4E247E"/>
    <w:rsid w:val="5D555000"/>
    <w:rsid w:val="5D5A01FB"/>
    <w:rsid w:val="5D5D29DD"/>
    <w:rsid w:val="5D610403"/>
    <w:rsid w:val="5D63417B"/>
    <w:rsid w:val="5D635BA8"/>
    <w:rsid w:val="5D6368E7"/>
    <w:rsid w:val="5D65508E"/>
    <w:rsid w:val="5D673235"/>
    <w:rsid w:val="5D69550A"/>
    <w:rsid w:val="5D6C5D26"/>
    <w:rsid w:val="5D7122C4"/>
    <w:rsid w:val="5D7873F0"/>
    <w:rsid w:val="5D787761"/>
    <w:rsid w:val="5D852344"/>
    <w:rsid w:val="5D8D2301"/>
    <w:rsid w:val="5D8D37E2"/>
    <w:rsid w:val="5D9066D0"/>
    <w:rsid w:val="5D9E6F62"/>
    <w:rsid w:val="5DAA1DAA"/>
    <w:rsid w:val="5DAB78D0"/>
    <w:rsid w:val="5DB04BF7"/>
    <w:rsid w:val="5DB43432"/>
    <w:rsid w:val="5DB524FD"/>
    <w:rsid w:val="5DB7605D"/>
    <w:rsid w:val="5DBC4E86"/>
    <w:rsid w:val="5DC159BA"/>
    <w:rsid w:val="5DC30642"/>
    <w:rsid w:val="5DC7295C"/>
    <w:rsid w:val="5DCD3CEB"/>
    <w:rsid w:val="5DCF7A63"/>
    <w:rsid w:val="5DD230AF"/>
    <w:rsid w:val="5DD45079"/>
    <w:rsid w:val="5DE31E16"/>
    <w:rsid w:val="5DE352BC"/>
    <w:rsid w:val="5DED2D6A"/>
    <w:rsid w:val="5DF179D9"/>
    <w:rsid w:val="5DFD302F"/>
    <w:rsid w:val="5DFE20F6"/>
    <w:rsid w:val="5DFE2628"/>
    <w:rsid w:val="5E0061D0"/>
    <w:rsid w:val="5E0261F6"/>
    <w:rsid w:val="5E070FAB"/>
    <w:rsid w:val="5E0A0A9B"/>
    <w:rsid w:val="5E0F7E5F"/>
    <w:rsid w:val="5E111E29"/>
    <w:rsid w:val="5E137687"/>
    <w:rsid w:val="5E1A22C1"/>
    <w:rsid w:val="5E1B2CA8"/>
    <w:rsid w:val="5E1E4546"/>
    <w:rsid w:val="5E2751A9"/>
    <w:rsid w:val="5E323B4E"/>
    <w:rsid w:val="5E361890"/>
    <w:rsid w:val="5E397A0E"/>
    <w:rsid w:val="5E3D14E6"/>
    <w:rsid w:val="5E3E6478"/>
    <w:rsid w:val="5E40270F"/>
    <w:rsid w:val="5E464FBE"/>
    <w:rsid w:val="5E47584B"/>
    <w:rsid w:val="5E481B77"/>
    <w:rsid w:val="5E4915C3"/>
    <w:rsid w:val="5E4936AB"/>
    <w:rsid w:val="5E496879"/>
    <w:rsid w:val="5E4D0988"/>
    <w:rsid w:val="5E4F4700"/>
    <w:rsid w:val="5E516316"/>
    <w:rsid w:val="5E536722"/>
    <w:rsid w:val="5E581412"/>
    <w:rsid w:val="5E5835B4"/>
    <w:rsid w:val="5E5A37D0"/>
    <w:rsid w:val="5E5D0BCB"/>
    <w:rsid w:val="5E643499"/>
    <w:rsid w:val="5E655CD1"/>
    <w:rsid w:val="5E667716"/>
    <w:rsid w:val="5E6C326E"/>
    <w:rsid w:val="5E6E102A"/>
    <w:rsid w:val="5E6F6B77"/>
    <w:rsid w:val="5E705DCB"/>
    <w:rsid w:val="5E7A0B43"/>
    <w:rsid w:val="5E8C30F0"/>
    <w:rsid w:val="5EA04F5B"/>
    <w:rsid w:val="5EA06D09"/>
    <w:rsid w:val="5EA44A4C"/>
    <w:rsid w:val="5EA8516F"/>
    <w:rsid w:val="5EAE18D9"/>
    <w:rsid w:val="5EB32EE1"/>
    <w:rsid w:val="5EB6477F"/>
    <w:rsid w:val="5EB90D47"/>
    <w:rsid w:val="5EB93DB8"/>
    <w:rsid w:val="5EC24ED2"/>
    <w:rsid w:val="5EC353DD"/>
    <w:rsid w:val="5EC370BC"/>
    <w:rsid w:val="5EC47962"/>
    <w:rsid w:val="5EC724E8"/>
    <w:rsid w:val="5EC730C7"/>
    <w:rsid w:val="5ECB647C"/>
    <w:rsid w:val="5ECF3538"/>
    <w:rsid w:val="5ED55104"/>
    <w:rsid w:val="5EDA79FD"/>
    <w:rsid w:val="5EDF5138"/>
    <w:rsid w:val="5EE017FC"/>
    <w:rsid w:val="5EE26D2D"/>
    <w:rsid w:val="5EE4753E"/>
    <w:rsid w:val="5EEE5CC7"/>
    <w:rsid w:val="5EF007B8"/>
    <w:rsid w:val="5EF356CC"/>
    <w:rsid w:val="5EF37781"/>
    <w:rsid w:val="5EF52960"/>
    <w:rsid w:val="5EFE7728"/>
    <w:rsid w:val="5F074FDA"/>
    <w:rsid w:val="5F08096A"/>
    <w:rsid w:val="5F0E6369"/>
    <w:rsid w:val="5F0F7C39"/>
    <w:rsid w:val="5F131BD1"/>
    <w:rsid w:val="5F16521D"/>
    <w:rsid w:val="5F1A4D0E"/>
    <w:rsid w:val="5F1C6CD8"/>
    <w:rsid w:val="5F1E5DFC"/>
    <w:rsid w:val="5F260C04"/>
    <w:rsid w:val="5F2619EE"/>
    <w:rsid w:val="5F374F3B"/>
    <w:rsid w:val="5F3C2ED6"/>
    <w:rsid w:val="5F3E6C4E"/>
    <w:rsid w:val="5F41229A"/>
    <w:rsid w:val="5F474BCD"/>
    <w:rsid w:val="5F4A1633"/>
    <w:rsid w:val="5F4D0C34"/>
    <w:rsid w:val="5F503941"/>
    <w:rsid w:val="5F5226F9"/>
    <w:rsid w:val="5F585D60"/>
    <w:rsid w:val="5F593A88"/>
    <w:rsid w:val="5F5A15AE"/>
    <w:rsid w:val="5F602596"/>
    <w:rsid w:val="5F660400"/>
    <w:rsid w:val="5F683CCB"/>
    <w:rsid w:val="5F6E2761"/>
    <w:rsid w:val="5F751F44"/>
    <w:rsid w:val="5F7A2BFA"/>
    <w:rsid w:val="5F7C1524"/>
    <w:rsid w:val="5F7F319B"/>
    <w:rsid w:val="5F8360FE"/>
    <w:rsid w:val="5F8B1768"/>
    <w:rsid w:val="5F9A19AB"/>
    <w:rsid w:val="5FAB3BB8"/>
    <w:rsid w:val="5FAE5456"/>
    <w:rsid w:val="5FB07420"/>
    <w:rsid w:val="5FB23198"/>
    <w:rsid w:val="5FBF06C7"/>
    <w:rsid w:val="5FBF7663"/>
    <w:rsid w:val="5FC00071"/>
    <w:rsid w:val="5FC058B5"/>
    <w:rsid w:val="5FC15189"/>
    <w:rsid w:val="5FC25AEB"/>
    <w:rsid w:val="5FC5111D"/>
    <w:rsid w:val="5FC52ECB"/>
    <w:rsid w:val="5FC877FF"/>
    <w:rsid w:val="5FCD7FD2"/>
    <w:rsid w:val="5FCF5AF8"/>
    <w:rsid w:val="5FD62ABD"/>
    <w:rsid w:val="5FD80770"/>
    <w:rsid w:val="5FE20772"/>
    <w:rsid w:val="5FE630D2"/>
    <w:rsid w:val="5FEA0B84"/>
    <w:rsid w:val="5FF11F12"/>
    <w:rsid w:val="5FF3272B"/>
    <w:rsid w:val="5FF64BDE"/>
    <w:rsid w:val="5FF83217"/>
    <w:rsid w:val="5FF97FD7"/>
    <w:rsid w:val="600310E4"/>
    <w:rsid w:val="600532C8"/>
    <w:rsid w:val="600734E4"/>
    <w:rsid w:val="60113530"/>
    <w:rsid w:val="601259E5"/>
    <w:rsid w:val="60160C5E"/>
    <w:rsid w:val="60232CBA"/>
    <w:rsid w:val="60306B71"/>
    <w:rsid w:val="6035022A"/>
    <w:rsid w:val="603718EF"/>
    <w:rsid w:val="603B3570"/>
    <w:rsid w:val="60471B32"/>
    <w:rsid w:val="60575AEE"/>
    <w:rsid w:val="6058497C"/>
    <w:rsid w:val="605B128C"/>
    <w:rsid w:val="605E3B1D"/>
    <w:rsid w:val="60602BF4"/>
    <w:rsid w:val="606049A2"/>
    <w:rsid w:val="60613685"/>
    <w:rsid w:val="60614010"/>
    <w:rsid w:val="606A5821"/>
    <w:rsid w:val="606A75CF"/>
    <w:rsid w:val="606B6137"/>
    <w:rsid w:val="607302AC"/>
    <w:rsid w:val="607346EE"/>
    <w:rsid w:val="60762418"/>
    <w:rsid w:val="607D28F7"/>
    <w:rsid w:val="60852ADD"/>
    <w:rsid w:val="60854409"/>
    <w:rsid w:val="60892739"/>
    <w:rsid w:val="608A5EC3"/>
    <w:rsid w:val="608A7C71"/>
    <w:rsid w:val="609C7AAF"/>
    <w:rsid w:val="60A01243"/>
    <w:rsid w:val="60A945C8"/>
    <w:rsid w:val="60A9522A"/>
    <w:rsid w:val="60C33121"/>
    <w:rsid w:val="60C45483"/>
    <w:rsid w:val="60C62303"/>
    <w:rsid w:val="60C93D23"/>
    <w:rsid w:val="60CB2763"/>
    <w:rsid w:val="60D158A0"/>
    <w:rsid w:val="60D55390"/>
    <w:rsid w:val="60E0295D"/>
    <w:rsid w:val="60E530F9"/>
    <w:rsid w:val="60E60606"/>
    <w:rsid w:val="60E9572D"/>
    <w:rsid w:val="60EA6962"/>
    <w:rsid w:val="60EB77C0"/>
    <w:rsid w:val="60EC26DA"/>
    <w:rsid w:val="60F41745"/>
    <w:rsid w:val="60F812A0"/>
    <w:rsid w:val="60F872D1"/>
    <w:rsid w:val="60FB0B6F"/>
    <w:rsid w:val="60FF1094"/>
    <w:rsid w:val="61045C75"/>
    <w:rsid w:val="61053262"/>
    <w:rsid w:val="610B0DB2"/>
    <w:rsid w:val="610F4BB4"/>
    <w:rsid w:val="611552D8"/>
    <w:rsid w:val="61167757"/>
    <w:rsid w:val="611C0AF8"/>
    <w:rsid w:val="611E593F"/>
    <w:rsid w:val="61221A9F"/>
    <w:rsid w:val="612956DC"/>
    <w:rsid w:val="612B0B2A"/>
    <w:rsid w:val="612F21FF"/>
    <w:rsid w:val="61355E2F"/>
    <w:rsid w:val="61377DF9"/>
    <w:rsid w:val="613C540F"/>
    <w:rsid w:val="614442C4"/>
    <w:rsid w:val="61446072"/>
    <w:rsid w:val="61482364"/>
    <w:rsid w:val="61483CE5"/>
    <w:rsid w:val="614918DA"/>
    <w:rsid w:val="614D4B0C"/>
    <w:rsid w:val="615A7643"/>
    <w:rsid w:val="6162164F"/>
    <w:rsid w:val="61640167"/>
    <w:rsid w:val="61695AD8"/>
    <w:rsid w:val="616E7593"/>
    <w:rsid w:val="616F6C0A"/>
    <w:rsid w:val="61703FF0"/>
    <w:rsid w:val="617C3A5E"/>
    <w:rsid w:val="618151B8"/>
    <w:rsid w:val="61827BA7"/>
    <w:rsid w:val="618446C0"/>
    <w:rsid w:val="61876C51"/>
    <w:rsid w:val="618943CD"/>
    <w:rsid w:val="618B1EF3"/>
    <w:rsid w:val="618D5C6B"/>
    <w:rsid w:val="61903065"/>
    <w:rsid w:val="61923281"/>
    <w:rsid w:val="619E7E05"/>
    <w:rsid w:val="61A5152A"/>
    <w:rsid w:val="61A77883"/>
    <w:rsid w:val="61A859D5"/>
    <w:rsid w:val="61A86601"/>
    <w:rsid w:val="61A905CB"/>
    <w:rsid w:val="61B064F5"/>
    <w:rsid w:val="61B34EF4"/>
    <w:rsid w:val="61B35243"/>
    <w:rsid w:val="61BB4A54"/>
    <w:rsid w:val="61BC489F"/>
    <w:rsid w:val="61C938C4"/>
    <w:rsid w:val="61CB0208"/>
    <w:rsid w:val="61CD6067"/>
    <w:rsid w:val="61D018AC"/>
    <w:rsid w:val="61D026B0"/>
    <w:rsid w:val="61D373F6"/>
    <w:rsid w:val="61D7611A"/>
    <w:rsid w:val="61D92C5E"/>
    <w:rsid w:val="61DA69D6"/>
    <w:rsid w:val="61DB4C28"/>
    <w:rsid w:val="61DE2022"/>
    <w:rsid w:val="61DF1422"/>
    <w:rsid w:val="61DF4833"/>
    <w:rsid w:val="61E04377"/>
    <w:rsid w:val="61E55ABD"/>
    <w:rsid w:val="61E737AA"/>
    <w:rsid w:val="61EE55C2"/>
    <w:rsid w:val="61EE5FDE"/>
    <w:rsid w:val="61F56BFA"/>
    <w:rsid w:val="61F74799"/>
    <w:rsid w:val="61FC694D"/>
    <w:rsid w:val="61FE0917"/>
    <w:rsid w:val="62061579"/>
    <w:rsid w:val="620677CB"/>
    <w:rsid w:val="620B7F69"/>
    <w:rsid w:val="620D46B6"/>
    <w:rsid w:val="620F0B35"/>
    <w:rsid w:val="62113ACF"/>
    <w:rsid w:val="62140B89"/>
    <w:rsid w:val="621E4B15"/>
    <w:rsid w:val="622F6D22"/>
    <w:rsid w:val="623065F6"/>
    <w:rsid w:val="62353C0D"/>
    <w:rsid w:val="62361E5F"/>
    <w:rsid w:val="623C4F9B"/>
    <w:rsid w:val="623D4AFB"/>
    <w:rsid w:val="62436329"/>
    <w:rsid w:val="62444148"/>
    <w:rsid w:val="624679EC"/>
    <w:rsid w:val="624D0B8A"/>
    <w:rsid w:val="62507BFD"/>
    <w:rsid w:val="62522BF9"/>
    <w:rsid w:val="62544E29"/>
    <w:rsid w:val="6256386B"/>
    <w:rsid w:val="625642AF"/>
    <w:rsid w:val="62691B04"/>
    <w:rsid w:val="626A68BC"/>
    <w:rsid w:val="626A7D5A"/>
    <w:rsid w:val="626C3AD2"/>
    <w:rsid w:val="626C5880"/>
    <w:rsid w:val="626D15F8"/>
    <w:rsid w:val="626F5370"/>
    <w:rsid w:val="627232E5"/>
    <w:rsid w:val="627A1305"/>
    <w:rsid w:val="627E30F9"/>
    <w:rsid w:val="62915C36"/>
    <w:rsid w:val="629441A4"/>
    <w:rsid w:val="629C27AD"/>
    <w:rsid w:val="629D1EDE"/>
    <w:rsid w:val="62A768B8"/>
    <w:rsid w:val="62AA0157"/>
    <w:rsid w:val="62AE15D2"/>
    <w:rsid w:val="62B31701"/>
    <w:rsid w:val="62B611F1"/>
    <w:rsid w:val="62BD2580"/>
    <w:rsid w:val="62C21944"/>
    <w:rsid w:val="62C31218"/>
    <w:rsid w:val="62D216B0"/>
    <w:rsid w:val="62D246A6"/>
    <w:rsid w:val="62D316DB"/>
    <w:rsid w:val="62D41677"/>
    <w:rsid w:val="62D66B52"/>
    <w:rsid w:val="62D963D1"/>
    <w:rsid w:val="62DF6EE6"/>
    <w:rsid w:val="62E22047"/>
    <w:rsid w:val="62E95123"/>
    <w:rsid w:val="62EC4C13"/>
    <w:rsid w:val="62EE5A55"/>
    <w:rsid w:val="62F02D1F"/>
    <w:rsid w:val="62F4264A"/>
    <w:rsid w:val="62F45876"/>
    <w:rsid w:val="62F615EE"/>
    <w:rsid w:val="62F76C04"/>
    <w:rsid w:val="62F82F7B"/>
    <w:rsid w:val="62F9727D"/>
    <w:rsid w:val="62FF4946"/>
    <w:rsid w:val="63085743"/>
    <w:rsid w:val="63097573"/>
    <w:rsid w:val="630A5099"/>
    <w:rsid w:val="630B32EB"/>
    <w:rsid w:val="630C248B"/>
    <w:rsid w:val="630C2FA3"/>
    <w:rsid w:val="631239D7"/>
    <w:rsid w:val="63155F18"/>
    <w:rsid w:val="631924E6"/>
    <w:rsid w:val="631B1054"/>
    <w:rsid w:val="632048BD"/>
    <w:rsid w:val="63227C6A"/>
    <w:rsid w:val="632B20E0"/>
    <w:rsid w:val="632B4215"/>
    <w:rsid w:val="632C2EE5"/>
    <w:rsid w:val="63316ACA"/>
    <w:rsid w:val="63324A70"/>
    <w:rsid w:val="633E334F"/>
    <w:rsid w:val="633F1B8F"/>
    <w:rsid w:val="63471E49"/>
    <w:rsid w:val="63473BF7"/>
    <w:rsid w:val="634C4258"/>
    <w:rsid w:val="634E4F86"/>
    <w:rsid w:val="63512CC8"/>
    <w:rsid w:val="636334C9"/>
    <w:rsid w:val="636522D0"/>
    <w:rsid w:val="636E721D"/>
    <w:rsid w:val="637248C1"/>
    <w:rsid w:val="63730163"/>
    <w:rsid w:val="637F15E3"/>
    <w:rsid w:val="63844E4C"/>
    <w:rsid w:val="638B4DC2"/>
    <w:rsid w:val="63936E3D"/>
    <w:rsid w:val="63A31776"/>
    <w:rsid w:val="63A34771"/>
    <w:rsid w:val="63A34F21"/>
    <w:rsid w:val="63A8358E"/>
    <w:rsid w:val="63A86D8C"/>
    <w:rsid w:val="63AC72AA"/>
    <w:rsid w:val="63B04C7B"/>
    <w:rsid w:val="63B167C6"/>
    <w:rsid w:val="63BB75EA"/>
    <w:rsid w:val="63BE035D"/>
    <w:rsid w:val="63BE6EE1"/>
    <w:rsid w:val="63C13032"/>
    <w:rsid w:val="63C37D02"/>
    <w:rsid w:val="63C41BB0"/>
    <w:rsid w:val="63C506FE"/>
    <w:rsid w:val="63C811DC"/>
    <w:rsid w:val="63CA3C52"/>
    <w:rsid w:val="63CB65D6"/>
    <w:rsid w:val="63D509E4"/>
    <w:rsid w:val="63E306B3"/>
    <w:rsid w:val="63E46674"/>
    <w:rsid w:val="63E72026"/>
    <w:rsid w:val="63F112B3"/>
    <w:rsid w:val="63F37C9E"/>
    <w:rsid w:val="63F56EE4"/>
    <w:rsid w:val="63F7561D"/>
    <w:rsid w:val="63FD075A"/>
    <w:rsid w:val="64124205"/>
    <w:rsid w:val="641D1364"/>
    <w:rsid w:val="641E6213"/>
    <w:rsid w:val="64236413"/>
    <w:rsid w:val="64243F39"/>
    <w:rsid w:val="64281C7B"/>
    <w:rsid w:val="64287ECD"/>
    <w:rsid w:val="642D3828"/>
    <w:rsid w:val="642E0080"/>
    <w:rsid w:val="642E0EA8"/>
    <w:rsid w:val="64370110"/>
    <w:rsid w:val="64373C6C"/>
    <w:rsid w:val="643B10CC"/>
    <w:rsid w:val="643C5A47"/>
    <w:rsid w:val="64416899"/>
    <w:rsid w:val="644B484F"/>
    <w:rsid w:val="644C4FE2"/>
    <w:rsid w:val="64526CF8"/>
    <w:rsid w:val="64591E34"/>
    <w:rsid w:val="645A795A"/>
    <w:rsid w:val="645B7EC5"/>
    <w:rsid w:val="645D52CB"/>
    <w:rsid w:val="64666D24"/>
    <w:rsid w:val="646D3B32"/>
    <w:rsid w:val="647153D0"/>
    <w:rsid w:val="6477675E"/>
    <w:rsid w:val="647A1DAB"/>
    <w:rsid w:val="647C359E"/>
    <w:rsid w:val="647C3B67"/>
    <w:rsid w:val="647D6EC8"/>
    <w:rsid w:val="648558A4"/>
    <w:rsid w:val="64877C06"/>
    <w:rsid w:val="648D5F82"/>
    <w:rsid w:val="648E03B6"/>
    <w:rsid w:val="64911D90"/>
    <w:rsid w:val="64992B79"/>
    <w:rsid w:val="64A43F5F"/>
    <w:rsid w:val="64AF2B6C"/>
    <w:rsid w:val="64B07140"/>
    <w:rsid w:val="64B12C42"/>
    <w:rsid w:val="64B654D9"/>
    <w:rsid w:val="64B82484"/>
    <w:rsid w:val="64B96D77"/>
    <w:rsid w:val="64BB183B"/>
    <w:rsid w:val="64BB2AEF"/>
    <w:rsid w:val="64C00105"/>
    <w:rsid w:val="64C37BF6"/>
    <w:rsid w:val="64CC2606"/>
    <w:rsid w:val="64D150C5"/>
    <w:rsid w:val="64D37E39"/>
    <w:rsid w:val="64D836A1"/>
    <w:rsid w:val="64DA4D1B"/>
    <w:rsid w:val="64E26E7C"/>
    <w:rsid w:val="64EC2CA8"/>
    <w:rsid w:val="64EF2799"/>
    <w:rsid w:val="64EF6025"/>
    <w:rsid w:val="64F72895"/>
    <w:rsid w:val="64FD3C46"/>
    <w:rsid w:val="64FF2737"/>
    <w:rsid w:val="65051798"/>
    <w:rsid w:val="650F5767"/>
    <w:rsid w:val="650F65D3"/>
    <w:rsid w:val="651842D4"/>
    <w:rsid w:val="651D2E62"/>
    <w:rsid w:val="65201378"/>
    <w:rsid w:val="65215861"/>
    <w:rsid w:val="65227BA7"/>
    <w:rsid w:val="652C579B"/>
    <w:rsid w:val="6531261E"/>
    <w:rsid w:val="6531690D"/>
    <w:rsid w:val="653463FD"/>
    <w:rsid w:val="65392EE8"/>
    <w:rsid w:val="653C4C10"/>
    <w:rsid w:val="653D1756"/>
    <w:rsid w:val="65402FF4"/>
    <w:rsid w:val="65442AE4"/>
    <w:rsid w:val="654A1D24"/>
    <w:rsid w:val="654F3237"/>
    <w:rsid w:val="65532D27"/>
    <w:rsid w:val="65547BE3"/>
    <w:rsid w:val="6555561D"/>
    <w:rsid w:val="655D2071"/>
    <w:rsid w:val="655F791E"/>
    <w:rsid w:val="656328AE"/>
    <w:rsid w:val="65647EE0"/>
    <w:rsid w:val="656C48C9"/>
    <w:rsid w:val="656D6725"/>
    <w:rsid w:val="65757142"/>
    <w:rsid w:val="657D13E8"/>
    <w:rsid w:val="657D1B52"/>
    <w:rsid w:val="65870C23"/>
    <w:rsid w:val="6589499B"/>
    <w:rsid w:val="658A451C"/>
    <w:rsid w:val="658B24C1"/>
    <w:rsid w:val="658D22A3"/>
    <w:rsid w:val="658E1DA0"/>
    <w:rsid w:val="65921AA2"/>
    <w:rsid w:val="65A76E6F"/>
    <w:rsid w:val="65AB4911"/>
    <w:rsid w:val="65AD5968"/>
    <w:rsid w:val="65AD68DC"/>
    <w:rsid w:val="65B31A18"/>
    <w:rsid w:val="65B8702E"/>
    <w:rsid w:val="65BD4645"/>
    <w:rsid w:val="65C4177D"/>
    <w:rsid w:val="65C51AD5"/>
    <w:rsid w:val="65D320A9"/>
    <w:rsid w:val="65D51CC9"/>
    <w:rsid w:val="65D8111D"/>
    <w:rsid w:val="65D965E2"/>
    <w:rsid w:val="65DD6A95"/>
    <w:rsid w:val="65E02EC2"/>
    <w:rsid w:val="65E10333"/>
    <w:rsid w:val="65E16585"/>
    <w:rsid w:val="65E322FD"/>
    <w:rsid w:val="65F067C8"/>
    <w:rsid w:val="65F53C00"/>
    <w:rsid w:val="65F77B57"/>
    <w:rsid w:val="65F96A92"/>
    <w:rsid w:val="65FF4C5D"/>
    <w:rsid w:val="66062BA9"/>
    <w:rsid w:val="660D737A"/>
    <w:rsid w:val="660F42DD"/>
    <w:rsid w:val="66154481"/>
    <w:rsid w:val="6615622F"/>
    <w:rsid w:val="661701F9"/>
    <w:rsid w:val="6618187B"/>
    <w:rsid w:val="661E6C68"/>
    <w:rsid w:val="66225D13"/>
    <w:rsid w:val="66236B9E"/>
    <w:rsid w:val="66287D10"/>
    <w:rsid w:val="662A0B46"/>
    <w:rsid w:val="663A3263"/>
    <w:rsid w:val="663A5137"/>
    <w:rsid w:val="663B29D0"/>
    <w:rsid w:val="663F505A"/>
    <w:rsid w:val="664A237C"/>
    <w:rsid w:val="664E2135"/>
    <w:rsid w:val="665054B9"/>
    <w:rsid w:val="66542522"/>
    <w:rsid w:val="665A6A90"/>
    <w:rsid w:val="665B73AB"/>
    <w:rsid w:val="665C20B0"/>
    <w:rsid w:val="66611474"/>
    <w:rsid w:val="66660838"/>
    <w:rsid w:val="666876A7"/>
    <w:rsid w:val="666A1406"/>
    <w:rsid w:val="666D606B"/>
    <w:rsid w:val="666F3B91"/>
    <w:rsid w:val="6672630C"/>
    <w:rsid w:val="667411A7"/>
    <w:rsid w:val="66757347"/>
    <w:rsid w:val="667D1AE0"/>
    <w:rsid w:val="6683763C"/>
    <w:rsid w:val="668A09CB"/>
    <w:rsid w:val="669075C0"/>
    <w:rsid w:val="669710A3"/>
    <w:rsid w:val="669D59C4"/>
    <w:rsid w:val="669E446B"/>
    <w:rsid w:val="66A6293D"/>
    <w:rsid w:val="66A7157D"/>
    <w:rsid w:val="66AA2E1B"/>
    <w:rsid w:val="66AA4BC9"/>
    <w:rsid w:val="66AE0252"/>
    <w:rsid w:val="66AF21DF"/>
    <w:rsid w:val="66B477F6"/>
    <w:rsid w:val="66B85BB9"/>
    <w:rsid w:val="66BE2423"/>
    <w:rsid w:val="66C74F08"/>
    <w:rsid w:val="66D24120"/>
    <w:rsid w:val="66D450F7"/>
    <w:rsid w:val="66D954AE"/>
    <w:rsid w:val="66DB2FD4"/>
    <w:rsid w:val="66E13CD1"/>
    <w:rsid w:val="66E53E53"/>
    <w:rsid w:val="66EA780F"/>
    <w:rsid w:val="66EE04ED"/>
    <w:rsid w:val="66FA669F"/>
    <w:rsid w:val="67115179"/>
    <w:rsid w:val="67166B19"/>
    <w:rsid w:val="671B3E55"/>
    <w:rsid w:val="672102F8"/>
    <w:rsid w:val="6723497B"/>
    <w:rsid w:val="672A45D1"/>
    <w:rsid w:val="672D31C2"/>
    <w:rsid w:val="672F1572"/>
    <w:rsid w:val="67340937"/>
    <w:rsid w:val="673847A2"/>
    <w:rsid w:val="67451437"/>
    <w:rsid w:val="674548F2"/>
    <w:rsid w:val="6747673E"/>
    <w:rsid w:val="67492634"/>
    <w:rsid w:val="674C0AD9"/>
    <w:rsid w:val="674E19F8"/>
    <w:rsid w:val="67513297"/>
    <w:rsid w:val="6751773B"/>
    <w:rsid w:val="67556971"/>
    <w:rsid w:val="67592D4F"/>
    <w:rsid w:val="675B4115"/>
    <w:rsid w:val="675E59B4"/>
    <w:rsid w:val="675F607F"/>
    <w:rsid w:val="67647E5F"/>
    <w:rsid w:val="67696832"/>
    <w:rsid w:val="67810E35"/>
    <w:rsid w:val="678764D3"/>
    <w:rsid w:val="6793565D"/>
    <w:rsid w:val="67957627"/>
    <w:rsid w:val="679E5FC3"/>
    <w:rsid w:val="67A44F07"/>
    <w:rsid w:val="67A61834"/>
    <w:rsid w:val="67A97499"/>
    <w:rsid w:val="67AE324D"/>
    <w:rsid w:val="67AE6257"/>
    <w:rsid w:val="67AF7FBD"/>
    <w:rsid w:val="67B30841"/>
    <w:rsid w:val="67B919F4"/>
    <w:rsid w:val="67B96C3F"/>
    <w:rsid w:val="67BC1058"/>
    <w:rsid w:val="67BF6452"/>
    <w:rsid w:val="67C215C3"/>
    <w:rsid w:val="67C24194"/>
    <w:rsid w:val="67C617B4"/>
    <w:rsid w:val="67CD31AF"/>
    <w:rsid w:val="67D0065F"/>
    <w:rsid w:val="67D068B1"/>
    <w:rsid w:val="67D85766"/>
    <w:rsid w:val="67D90921"/>
    <w:rsid w:val="67DD2D7C"/>
    <w:rsid w:val="67E91370"/>
    <w:rsid w:val="67E96A7E"/>
    <w:rsid w:val="67F02AB0"/>
    <w:rsid w:val="67F80DA5"/>
    <w:rsid w:val="67F9170E"/>
    <w:rsid w:val="67FC76A6"/>
    <w:rsid w:val="67FD1583"/>
    <w:rsid w:val="67FF7197"/>
    <w:rsid w:val="68016A6B"/>
    <w:rsid w:val="68036AA7"/>
    <w:rsid w:val="68106CAE"/>
    <w:rsid w:val="6811151C"/>
    <w:rsid w:val="68112A26"/>
    <w:rsid w:val="68142C42"/>
    <w:rsid w:val="6818402B"/>
    <w:rsid w:val="68196A27"/>
    <w:rsid w:val="681A79B2"/>
    <w:rsid w:val="681F3EAB"/>
    <w:rsid w:val="68204A35"/>
    <w:rsid w:val="68224C33"/>
    <w:rsid w:val="682B1D3A"/>
    <w:rsid w:val="682B3AE8"/>
    <w:rsid w:val="68302A2F"/>
    <w:rsid w:val="6832404A"/>
    <w:rsid w:val="683A444B"/>
    <w:rsid w:val="683D598F"/>
    <w:rsid w:val="68407577"/>
    <w:rsid w:val="68430AED"/>
    <w:rsid w:val="6844104D"/>
    <w:rsid w:val="68442DFB"/>
    <w:rsid w:val="684B23DC"/>
    <w:rsid w:val="684F03E8"/>
    <w:rsid w:val="68537962"/>
    <w:rsid w:val="68555008"/>
    <w:rsid w:val="685765F6"/>
    <w:rsid w:val="685968A7"/>
    <w:rsid w:val="685A617B"/>
    <w:rsid w:val="685C4BB7"/>
    <w:rsid w:val="685C6397"/>
    <w:rsid w:val="685D72AB"/>
    <w:rsid w:val="685F7C35"/>
    <w:rsid w:val="6860021F"/>
    <w:rsid w:val="68623877"/>
    <w:rsid w:val="68660FC4"/>
    <w:rsid w:val="68662D72"/>
    <w:rsid w:val="686723C9"/>
    <w:rsid w:val="68682647"/>
    <w:rsid w:val="68727968"/>
    <w:rsid w:val="687A05CB"/>
    <w:rsid w:val="687D2494"/>
    <w:rsid w:val="687E2C01"/>
    <w:rsid w:val="687E455F"/>
    <w:rsid w:val="68802085"/>
    <w:rsid w:val="688A1164"/>
    <w:rsid w:val="688D6550"/>
    <w:rsid w:val="688E3AA3"/>
    <w:rsid w:val="689478DF"/>
    <w:rsid w:val="689B6566"/>
    <w:rsid w:val="689C0C13"/>
    <w:rsid w:val="68A244D9"/>
    <w:rsid w:val="68A870B4"/>
    <w:rsid w:val="68AA7102"/>
    <w:rsid w:val="68B32933"/>
    <w:rsid w:val="68BB30BE"/>
    <w:rsid w:val="68BD3401"/>
    <w:rsid w:val="68C3157E"/>
    <w:rsid w:val="68C61E05"/>
    <w:rsid w:val="68C74A62"/>
    <w:rsid w:val="68C84020"/>
    <w:rsid w:val="68CD71C0"/>
    <w:rsid w:val="68D433C4"/>
    <w:rsid w:val="68D74EB5"/>
    <w:rsid w:val="68D93544"/>
    <w:rsid w:val="68DD74D8"/>
    <w:rsid w:val="68DE0B5A"/>
    <w:rsid w:val="68E00D76"/>
    <w:rsid w:val="68E343C2"/>
    <w:rsid w:val="68E85E7D"/>
    <w:rsid w:val="68E942F8"/>
    <w:rsid w:val="68EB7E0C"/>
    <w:rsid w:val="68EF720B"/>
    <w:rsid w:val="68F105BA"/>
    <w:rsid w:val="68F62348"/>
    <w:rsid w:val="68F76576"/>
    <w:rsid w:val="68F87A58"/>
    <w:rsid w:val="68FF48F5"/>
    <w:rsid w:val="69064A9A"/>
    <w:rsid w:val="690B56C7"/>
    <w:rsid w:val="690D7691"/>
    <w:rsid w:val="69120FB8"/>
    <w:rsid w:val="6913229F"/>
    <w:rsid w:val="69192872"/>
    <w:rsid w:val="691B1DAE"/>
    <w:rsid w:val="691E2700"/>
    <w:rsid w:val="69204ACA"/>
    <w:rsid w:val="692D42A9"/>
    <w:rsid w:val="69313380"/>
    <w:rsid w:val="69342E70"/>
    <w:rsid w:val="693764BC"/>
    <w:rsid w:val="6938215B"/>
    <w:rsid w:val="6938383F"/>
    <w:rsid w:val="693966D8"/>
    <w:rsid w:val="693B41FE"/>
    <w:rsid w:val="693E599D"/>
    <w:rsid w:val="69456E2B"/>
    <w:rsid w:val="6949691B"/>
    <w:rsid w:val="694C0EA3"/>
    <w:rsid w:val="695B03FD"/>
    <w:rsid w:val="695F47AF"/>
    <w:rsid w:val="6962178B"/>
    <w:rsid w:val="696A0640"/>
    <w:rsid w:val="696E0130"/>
    <w:rsid w:val="69731BEA"/>
    <w:rsid w:val="697A1A2C"/>
    <w:rsid w:val="697B55A3"/>
    <w:rsid w:val="69823BDB"/>
    <w:rsid w:val="6985191D"/>
    <w:rsid w:val="69852CC0"/>
    <w:rsid w:val="69872FA0"/>
    <w:rsid w:val="698C6808"/>
    <w:rsid w:val="69913E1E"/>
    <w:rsid w:val="699276D1"/>
    <w:rsid w:val="699658D9"/>
    <w:rsid w:val="69981651"/>
    <w:rsid w:val="69992CD3"/>
    <w:rsid w:val="699E3FD5"/>
    <w:rsid w:val="69A77B8B"/>
    <w:rsid w:val="69AB1384"/>
    <w:rsid w:val="69AE2C22"/>
    <w:rsid w:val="69B032B0"/>
    <w:rsid w:val="69B1064C"/>
    <w:rsid w:val="69B7330F"/>
    <w:rsid w:val="69BE3DB0"/>
    <w:rsid w:val="69C260EC"/>
    <w:rsid w:val="69C441F4"/>
    <w:rsid w:val="69C80CD8"/>
    <w:rsid w:val="69C97A5C"/>
    <w:rsid w:val="69CB2A41"/>
    <w:rsid w:val="69CB37D4"/>
    <w:rsid w:val="69CE5072"/>
    <w:rsid w:val="69CF515D"/>
    <w:rsid w:val="69D00DEB"/>
    <w:rsid w:val="69D03739"/>
    <w:rsid w:val="69D1246D"/>
    <w:rsid w:val="69D22934"/>
    <w:rsid w:val="69D31B01"/>
    <w:rsid w:val="69D37B14"/>
    <w:rsid w:val="69D4452F"/>
    <w:rsid w:val="69D63F27"/>
    <w:rsid w:val="69DE18F3"/>
    <w:rsid w:val="69E143E5"/>
    <w:rsid w:val="69E71C90"/>
    <w:rsid w:val="69EA26B3"/>
    <w:rsid w:val="69EB1ABC"/>
    <w:rsid w:val="69EE10AB"/>
    <w:rsid w:val="69F12B0F"/>
    <w:rsid w:val="6A05671B"/>
    <w:rsid w:val="6A06480C"/>
    <w:rsid w:val="6A0D7131"/>
    <w:rsid w:val="6A102F95"/>
    <w:rsid w:val="6A114F5F"/>
    <w:rsid w:val="6A176726"/>
    <w:rsid w:val="6A1D3904"/>
    <w:rsid w:val="6A1F4115"/>
    <w:rsid w:val="6A1F7117"/>
    <w:rsid w:val="6A211646"/>
    <w:rsid w:val="6A242FE4"/>
    <w:rsid w:val="6A261067"/>
    <w:rsid w:val="6A2922A9"/>
    <w:rsid w:val="6A2C4A39"/>
    <w:rsid w:val="6A325FAC"/>
    <w:rsid w:val="6A3A2708"/>
    <w:rsid w:val="6A3C6480"/>
    <w:rsid w:val="6A403643"/>
    <w:rsid w:val="6A4C120B"/>
    <w:rsid w:val="6A5366E0"/>
    <w:rsid w:val="6A554E4C"/>
    <w:rsid w:val="6A575068"/>
    <w:rsid w:val="6A576E16"/>
    <w:rsid w:val="6A5A06B4"/>
    <w:rsid w:val="6A5A6906"/>
    <w:rsid w:val="6A5C2B5F"/>
    <w:rsid w:val="6A611A43"/>
    <w:rsid w:val="6A647785"/>
    <w:rsid w:val="6A694D9B"/>
    <w:rsid w:val="6A771266"/>
    <w:rsid w:val="6A8B4D12"/>
    <w:rsid w:val="6A94006A"/>
    <w:rsid w:val="6A962F09"/>
    <w:rsid w:val="6A975464"/>
    <w:rsid w:val="6A981E0C"/>
    <w:rsid w:val="6A9A589E"/>
    <w:rsid w:val="6A9C0CCD"/>
    <w:rsid w:val="6A9C2A7B"/>
    <w:rsid w:val="6AA8059C"/>
    <w:rsid w:val="6AB7717E"/>
    <w:rsid w:val="6ABE4B2D"/>
    <w:rsid w:val="6AC00E5F"/>
    <w:rsid w:val="6AC07265"/>
    <w:rsid w:val="6AC41FD2"/>
    <w:rsid w:val="6AC975E8"/>
    <w:rsid w:val="6ACB0AD0"/>
    <w:rsid w:val="6ACE4BFE"/>
    <w:rsid w:val="6AD14E1A"/>
    <w:rsid w:val="6AD22940"/>
    <w:rsid w:val="6AD541DF"/>
    <w:rsid w:val="6AE23B1C"/>
    <w:rsid w:val="6AE3587A"/>
    <w:rsid w:val="6AE4791A"/>
    <w:rsid w:val="6AE508C6"/>
    <w:rsid w:val="6AE739D7"/>
    <w:rsid w:val="6AF17514"/>
    <w:rsid w:val="6AF40161"/>
    <w:rsid w:val="6AF51CEC"/>
    <w:rsid w:val="6AF55E76"/>
    <w:rsid w:val="6AFA0387"/>
    <w:rsid w:val="6AFE4277"/>
    <w:rsid w:val="6AFE6FAA"/>
    <w:rsid w:val="6B014FD4"/>
    <w:rsid w:val="6B030D4C"/>
    <w:rsid w:val="6B090602"/>
    <w:rsid w:val="6B0D5EEF"/>
    <w:rsid w:val="6B113469"/>
    <w:rsid w:val="6B123E53"/>
    <w:rsid w:val="6B141866"/>
    <w:rsid w:val="6B20545A"/>
    <w:rsid w:val="6B2272AF"/>
    <w:rsid w:val="6B232928"/>
    <w:rsid w:val="6B23319C"/>
    <w:rsid w:val="6B24724A"/>
    <w:rsid w:val="6B261556"/>
    <w:rsid w:val="6B2A197B"/>
    <w:rsid w:val="6B302948"/>
    <w:rsid w:val="6B345259"/>
    <w:rsid w:val="6B36470D"/>
    <w:rsid w:val="6B376C47"/>
    <w:rsid w:val="6B393CD9"/>
    <w:rsid w:val="6B39651C"/>
    <w:rsid w:val="6B3E1D84"/>
    <w:rsid w:val="6B4078AA"/>
    <w:rsid w:val="6B4849B1"/>
    <w:rsid w:val="6B4D1FC7"/>
    <w:rsid w:val="6B4D3238"/>
    <w:rsid w:val="6B560E7C"/>
    <w:rsid w:val="6B573E5E"/>
    <w:rsid w:val="6B5C1325"/>
    <w:rsid w:val="6B5E4B99"/>
    <w:rsid w:val="6B607F4C"/>
    <w:rsid w:val="6B6478BB"/>
    <w:rsid w:val="6B681AE7"/>
    <w:rsid w:val="6B6D2669"/>
    <w:rsid w:val="6B6D4417"/>
    <w:rsid w:val="6B713F07"/>
    <w:rsid w:val="6B7457A6"/>
    <w:rsid w:val="6B772D58"/>
    <w:rsid w:val="6B78626F"/>
    <w:rsid w:val="6B79100E"/>
    <w:rsid w:val="6B7C465A"/>
    <w:rsid w:val="6B8504BE"/>
    <w:rsid w:val="6B872AF2"/>
    <w:rsid w:val="6B881E8C"/>
    <w:rsid w:val="6B882FFF"/>
    <w:rsid w:val="6B890CF3"/>
    <w:rsid w:val="6B8B6B22"/>
    <w:rsid w:val="6B8C2EE5"/>
    <w:rsid w:val="6B8D6867"/>
    <w:rsid w:val="6B916358"/>
    <w:rsid w:val="6B9729CD"/>
    <w:rsid w:val="6B984F80"/>
    <w:rsid w:val="6B9B71D6"/>
    <w:rsid w:val="6B9F682A"/>
    <w:rsid w:val="6BA23DD0"/>
    <w:rsid w:val="6BA54753"/>
    <w:rsid w:val="6BA56818"/>
    <w:rsid w:val="6BA74F7E"/>
    <w:rsid w:val="6BAB6164"/>
    <w:rsid w:val="6BB2156B"/>
    <w:rsid w:val="6BBB5A8A"/>
    <w:rsid w:val="6BBC2861"/>
    <w:rsid w:val="6BBD40E6"/>
    <w:rsid w:val="6BC02799"/>
    <w:rsid w:val="6BC06C3D"/>
    <w:rsid w:val="6BC32289"/>
    <w:rsid w:val="6BC54253"/>
    <w:rsid w:val="6BC8052F"/>
    <w:rsid w:val="6BCA657B"/>
    <w:rsid w:val="6BCC2278"/>
    <w:rsid w:val="6BCE1474"/>
    <w:rsid w:val="6BCE4EB6"/>
    <w:rsid w:val="6BD050D2"/>
    <w:rsid w:val="6BD761D6"/>
    <w:rsid w:val="6BD83034"/>
    <w:rsid w:val="6BDC1C76"/>
    <w:rsid w:val="6BDD0184"/>
    <w:rsid w:val="6BE566A3"/>
    <w:rsid w:val="6BEB2365"/>
    <w:rsid w:val="6BEB6757"/>
    <w:rsid w:val="6BEC17E0"/>
    <w:rsid w:val="6BED2882"/>
    <w:rsid w:val="6BEE37AA"/>
    <w:rsid w:val="6BEF307E"/>
    <w:rsid w:val="6BF01C01"/>
    <w:rsid w:val="6BF50356"/>
    <w:rsid w:val="6BF65CF0"/>
    <w:rsid w:val="6BFE6E31"/>
    <w:rsid w:val="6BFE7D78"/>
    <w:rsid w:val="6C066D46"/>
    <w:rsid w:val="6C0B610A"/>
    <w:rsid w:val="6C0D7706"/>
    <w:rsid w:val="6C223689"/>
    <w:rsid w:val="6C23403C"/>
    <w:rsid w:val="6C240F7A"/>
    <w:rsid w:val="6C2E12DC"/>
    <w:rsid w:val="6C2E3BA6"/>
    <w:rsid w:val="6C30338B"/>
    <w:rsid w:val="6C3210B3"/>
    <w:rsid w:val="6C353187"/>
    <w:rsid w:val="6C360CAD"/>
    <w:rsid w:val="6C3B06FD"/>
    <w:rsid w:val="6C3D5D12"/>
    <w:rsid w:val="6C3D6963"/>
    <w:rsid w:val="6C4118E7"/>
    <w:rsid w:val="6C417D7E"/>
    <w:rsid w:val="6C423ACA"/>
    <w:rsid w:val="6C423AF6"/>
    <w:rsid w:val="6C44161C"/>
    <w:rsid w:val="6C4B6506"/>
    <w:rsid w:val="6C50206A"/>
    <w:rsid w:val="6C5E0930"/>
    <w:rsid w:val="6C77379F"/>
    <w:rsid w:val="6C787517"/>
    <w:rsid w:val="6C7A666F"/>
    <w:rsid w:val="6C81461E"/>
    <w:rsid w:val="6C8163CC"/>
    <w:rsid w:val="6C8231F4"/>
    <w:rsid w:val="6C823EF2"/>
    <w:rsid w:val="6C884E83"/>
    <w:rsid w:val="6C89702F"/>
    <w:rsid w:val="6C8B0FF9"/>
    <w:rsid w:val="6C8C5E63"/>
    <w:rsid w:val="6C920A59"/>
    <w:rsid w:val="6C93425B"/>
    <w:rsid w:val="6C9648DA"/>
    <w:rsid w:val="6C965503"/>
    <w:rsid w:val="6CA64085"/>
    <w:rsid w:val="6CAB51F7"/>
    <w:rsid w:val="6CB028A0"/>
    <w:rsid w:val="6CB32306"/>
    <w:rsid w:val="6CB35F25"/>
    <w:rsid w:val="6CB36F43"/>
    <w:rsid w:val="6CB43BD9"/>
    <w:rsid w:val="6CB71DEE"/>
    <w:rsid w:val="6CB723B9"/>
    <w:rsid w:val="6CBC3901"/>
    <w:rsid w:val="6CBF5146"/>
    <w:rsid w:val="6CC10EBE"/>
    <w:rsid w:val="6CC11408"/>
    <w:rsid w:val="6CC14A1B"/>
    <w:rsid w:val="6CCB5899"/>
    <w:rsid w:val="6CCE7137"/>
    <w:rsid w:val="6CD6267F"/>
    <w:rsid w:val="6CDD61BC"/>
    <w:rsid w:val="6CE23B88"/>
    <w:rsid w:val="6CE93F71"/>
    <w:rsid w:val="6CEB3709"/>
    <w:rsid w:val="6CF30CE3"/>
    <w:rsid w:val="6CF44DF0"/>
    <w:rsid w:val="6CFA7F2C"/>
    <w:rsid w:val="6CFC70D1"/>
    <w:rsid w:val="6CFE6365"/>
    <w:rsid w:val="6D073AD5"/>
    <w:rsid w:val="6D0A4613"/>
    <w:rsid w:val="6D0B038C"/>
    <w:rsid w:val="6D162FB8"/>
    <w:rsid w:val="6D167B7C"/>
    <w:rsid w:val="6D18512F"/>
    <w:rsid w:val="6D194857"/>
    <w:rsid w:val="6D25144D"/>
    <w:rsid w:val="6D2564E9"/>
    <w:rsid w:val="6D257DEC"/>
    <w:rsid w:val="6D2D20B0"/>
    <w:rsid w:val="6D3C22F3"/>
    <w:rsid w:val="6D3C5BD6"/>
    <w:rsid w:val="6D3F2E8F"/>
    <w:rsid w:val="6D4A0EB4"/>
    <w:rsid w:val="6D4A2C62"/>
    <w:rsid w:val="6D527D69"/>
    <w:rsid w:val="6D5910F7"/>
    <w:rsid w:val="6D5C3FA4"/>
    <w:rsid w:val="6D5D181B"/>
    <w:rsid w:val="6D6370FC"/>
    <w:rsid w:val="6D64266A"/>
    <w:rsid w:val="6D657A9C"/>
    <w:rsid w:val="6D695A0E"/>
    <w:rsid w:val="6D6D06FE"/>
    <w:rsid w:val="6D6F091A"/>
    <w:rsid w:val="6D6F4477"/>
    <w:rsid w:val="6D7101EF"/>
    <w:rsid w:val="6D7265CF"/>
    <w:rsid w:val="6D7D6685"/>
    <w:rsid w:val="6D8321E9"/>
    <w:rsid w:val="6D836824"/>
    <w:rsid w:val="6D8757DF"/>
    <w:rsid w:val="6D88378A"/>
    <w:rsid w:val="6D8B11C1"/>
    <w:rsid w:val="6D8B1883"/>
    <w:rsid w:val="6D8C45A3"/>
    <w:rsid w:val="6D8D5369"/>
    <w:rsid w:val="6D927355"/>
    <w:rsid w:val="6D9739CD"/>
    <w:rsid w:val="6D9D5BEC"/>
    <w:rsid w:val="6DA46816"/>
    <w:rsid w:val="6DA828BB"/>
    <w:rsid w:val="6DAA0E88"/>
    <w:rsid w:val="6DAB7F9D"/>
    <w:rsid w:val="6DAF6F69"/>
    <w:rsid w:val="6DB13014"/>
    <w:rsid w:val="6DB4632D"/>
    <w:rsid w:val="6DB55AE7"/>
    <w:rsid w:val="6DB91B96"/>
    <w:rsid w:val="6DBD0D54"/>
    <w:rsid w:val="6DC71057"/>
    <w:rsid w:val="6DCC7B1B"/>
    <w:rsid w:val="6DD16EDF"/>
    <w:rsid w:val="6DD4629B"/>
    <w:rsid w:val="6DD62748"/>
    <w:rsid w:val="6DD705AB"/>
    <w:rsid w:val="6DD85660"/>
    <w:rsid w:val="6DE15F7D"/>
    <w:rsid w:val="6DE43EA0"/>
    <w:rsid w:val="6DE74E62"/>
    <w:rsid w:val="6DEF7365"/>
    <w:rsid w:val="6DF10D7F"/>
    <w:rsid w:val="6DF15FE8"/>
    <w:rsid w:val="6DF37C67"/>
    <w:rsid w:val="6DF64B98"/>
    <w:rsid w:val="6DF91828"/>
    <w:rsid w:val="6E005A16"/>
    <w:rsid w:val="6E01439C"/>
    <w:rsid w:val="6E01678F"/>
    <w:rsid w:val="6E0C1362"/>
    <w:rsid w:val="6E0C2F03"/>
    <w:rsid w:val="6E103E75"/>
    <w:rsid w:val="6E1119D2"/>
    <w:rsid w:val="6E1305A7"/>
    <w:rsid w:val="6E146E06"/>
    <w:rsid w:val="6E1520D9"/>
    <w:rsid w:val="6E220BA3"/>
    <w:rsid w:val="6E2434B3"/>
    <w:rsid w:val="6E264798"/>
    <w:rsid w:val="6E361438"/>
    <w:rsid w:val="6E364F94"/>
    <w:rsid w:val="6E4372F3"/>
    <w:rsid w:val="6E4A0CB3"/>
    <w:rsid w:val="6E50156F"/>
    <w:rsid w:val="6E533D98"/>
    <w:rsid w:val="6E5457D5"/>
    <w:rsid w:val="6E587601"/>
    <w:rsid w:val="6E5B1EE3"/>
    <w:rsid w:val="6E5B3683"/>
    <w:rsid w:val="6E6623D8"/>
    <w:rsid w:val="6E663ACB"/>
    <w:rsid w:val="6E672362"/>
    <w:rsid w:val="6E754DA5"/>
    <w:rsid w:val="6E7B7D5B"/>
    <w:rsid w:val="6E804461"/>
    <w:rsid w:val="6E817D87"/>
    <w:rsid w:val="6E8761A4"/>
    <w:rsid w:val="6E9F6FDD"/>
    <w:rsid w:val="6EA75E92"/>
    <w:rsid w:val="6EAE0FCF"/>
    <w:rsid w:val="6EB2078E"/>
    <w:rsid w:val="6EB52C6B"/>
    <w:rsid w:val="6EBC36EB"/>
    <w:rsid w:val="6EBC7B8F"/>
    <w:rsid w:val="6EBF19C2"/>
    <w:rsid w:val="6EBF7AA2"/>
    <w:rsid w:val="6EC10D02"/>
    <w:rsid w:val="6ED24CBD"/>
    <w:rsid w:val="6ED50C51"/>
    <w:rsid w:val="6ED8429D"/>
    <w:rsid w:val="6EDF0197"/>
    <w:rsid w:val="6EE724FF"/>
    <w:rsid w:val="6EEA5C6B"/>
    <w:rsid w:val="6EF33FEC"/>
    <w:rsid w:val="6EF813FB"/>
    <w:rsid w:val="6EF81D81"/>
    <w:rsid w:val="6EFA03DD"/>
    <w:rsid w:val="6EFA06B8"/>
    <w:rsid w:val="6EFF519D"/>
    <w:rsid w:val="6F081A18"/>
    <w:rsid w:val="6F09017D"/>
    <w:rsid w:val="6F196D90"/>
    <w:rsid w:val="6F1A0039"/>
    <w:rsid w:val="6F1A48B6"/>
    <w:rsid w:val="6F1C062E"/>
    <w:rsid w:val="6F1D2190"/>
    <w:rsid w:val="6F1F1ECC"/>
    <w:rsid w:val="6F2766B8"/>
    <w:rsid w:val="6F286FD3"/>
    <w:rsid w:val="6F354BB4"/>
    <w:rsid w:val="6F375468"/>
    <w:rsid w:val="6F3B6D06"/>
    <w:rsid w:val="6F3E0F4D"/>
    <w:rsid w:val="6F413762"/>
    <w:rsid w:val="6F4448D0"/>
    <w:rsid w:val="6F484F7F"/>
    <w:rsid w:val="6F5049AC"/>
    <w:rsid w:val="6F517DB4"/>
    <w:rsid w:val="6F524050"/>
    <w:rsid w:val="6F593630"/>
    <w:rsid w:val="6F5E1933"/>
    <w:rsid w:val="6F6A3F26"/>
    <w:rsid w:val="6F6A75EB"/>
    <w:rsid w:val="6F6D0E8A"/>
    <w:rsid w:val="6F6D1BF4"/>
    <w:rsid w:val="6F7246F2"/>
    <w:rsid w:val="6F7264A0"/>
    <w:rsid w:val="6F764D20"/>
    <w:rsid w:val="6F7C10CD"/>
    <w:rsid w:val="6F800BBD"/>
    <w:rsid w:val="6F8574E9"/>
    <w:rsid w:val="6F871F4B"/>
    <w:rsid w:val="6F8A1A3C"/>
    <w:rsid w:val="6F8A4A9D"/>
    <w:rsid w:val="6F8B1310"/>
    <w:rsid w:val="6F8C7562"/>
    <w:rsid w:val="6F921A74"/>
    <w:rsid w:val="6F9447E4"/>
    <w:rsid w:val="6F9B1C42"/>
    <w:rsid w:val="6F9B4841"/>
    <w:rsid w:val="6FA50623"/>
    <w:rsid w:val="6FA7308B"/>
    <w:rsid w:val="6FA80114"/>
    <w:rsid w:val="6FAA4E96"/>
    <w:rsid w:val="6FAC091D"/>
    <w:rsid w:val="6FAD56DE"/>
    <w:rsid w:val="6FB31B6B"/>
    <w:rsid w:val="6FBF2C39"/>
    <w:rsid w:val="6FC30AAA"/>
    <w:rsid w:val="6FC467EC"/>
    <w:rsid w:val="6FC51851"/>
    <w:rsid w:val="6FC70386"/>
    <w:rsid w:val="6FCB4A62"/>
    <w:rsid w:val="6FD26F3F"/>
    <w:rsid w:val="6FD433AE"/>
    <w:rsid w:val="6FDC5E2F"/>
    <w:rsid w:val="6FDC6225"/>
    <w:rsid w:val="6FDD600F"/>
    <w:rsid w:val="6FDD7DBD"/>
    <w:rsid w:val="6FE17151"/>
    <w:rsid w:val="6FE2558A"/>
    <w:rsid w:val="6FE335BD"/>
    <w:rsid w:val="6FEA4288"/>
    <w:rsid w:val="6FEE1FCA"/>
    <w:rsid w:val="6FF53255"/>
    <w:rsid w:val="6FF651DE"/>
    <w:rsid w:val="7000324B"/>
    <w:rsid w:val="70003AAC"/>
    <w:rsid w:val="70023225"/>
    <w:rsid w:val="70025A76"/>
    <w:rsid w:val="70045B5D"/>
    <w:rsid w:val="70052E70"/>
    <w:rsid w:val="700D7F77"/>
    <w:rsid w:val="700E6579"/>
    <w:rsid w:val="70115CB9"/>
    <w:rsid w:val="70154FBC"/>
    <w:rsid w:val="70194B6E"/>
    <w:rsid w:val="7019691C"/>
    <w:rsid w:val="702031BC"/>
    <w:rsid w:val="70213B25"/>
    <w:rsid w:val="70221C74"/>
    <w:rsid w:val="70264532"/>
    <w:rsid w:val="7027728A"/>
    <w:rsid w:val="70291255"/>
    <w:rsid w:val="70311EB7"/>
    <w:rsid w:val="70333E81"/>
    <w:rsid w:val="70343755"/>
    <w:rsid w:val="7036571F"/>
    <w:rsid w:val="70383246"/>
    <w:rsid w:val="70393F86"/>
    <w:rsid w:val="703F45D4"/>
    <w:rsid w:val="7040659E"/>
    <w:rsid w:val="704716DB"/>
    <w:rsid w:val="704927B8"/>
    <w:rsid w:val="70497201"/>
    <w:rsid w:val="704C4F43"/>
    <w:rsid w:val="704D18BB"/>
    <w:rsid w:val="704E25AC"/>
    <w:rsid w:val="704E4817"/>
    <w:rsid w:val="70554B00"/>
    <w:rsid w:val="705715B3"/>
    <w:rsid w:val="70576D16"/>
    <w:rsid w:val="705838E8"/>
    <w:rsid w:val="70585877"/>
    <w:rsid w:val="705A140E"/>
    <w:rsid w:val="705D69D6"/>
    <w:rsid w:val="705F4C76"/>
    <w:rsid w:val="70683D6E"/>
    <w:rsid w:val="706E12DF"/>
    <w:rsid w:val="706E310B"/>
    <w:rsid w:val="70787AE6"/>
    <w:rsid w:val="707C3E02"/>
    <w:rsid w:val="708741CD"/>
    <w:rsid w:val="708B7819"/>
    <w:rsid w:val="70903082"/>
    <w:rsid w:val="70912956"/>
    <w:rsid w:val="70926DFA"/>
    <w:rsid w:val="70933EEA"/>
    <w:rsid w:val="709B4D1C"/>
    <w:rsid w:val="70A13A18"/>
    <w:rsid w:val="70A4077A"/>
    <w:rsid w:val="70A42689"/>
    <w:rsid w:val="70A66401"/>
    <w:rsid w:val="70A703CB"/>
    <w:rsid w:val="70AB1D6F"/>
    <w:rsid w:val="70AF1919"/>
    <w:rsid w:val="70B032BC"/>
    <w:rsid w:val="70B115B2"/>
    <w:rsid w:val="70B86135"/>
    <w:rsid w:val="70BA1EAD"/>
    <w:rsid w:val="70BC724E"/>
    <w:rsid w:val="70BF7CCC"/>
    <w:rsid w:val="70C20D61"/>
    <w:rsid w:val="70C42D2B"/>
    <w:rsid w:val="70C50F2F"/>
    <w:rsid w:val="70C94FA3"/>
    <w:rsid w:val="70CB5E68"/>
    <w:rsid w:val="70CC68E0"/>
    <w:rsid w:val="70CD2277"/>
    <w:rsid w:val="70CE5958"/>
    <w:rsid w:val="70DE6613"/>
    <w:rsid w:val="70E37655"/>
    <w:rsid w:val="70EC7A43"/>
    <w:rsid w:val="70EE7DA8"/>
    <w:rsid w:val="70EF41DA"/>
    <w:rsid w:val="70F013FE"/>
    <w:rsid w:val="70F01D6F"/>
    <w:rsid w:val="70F133F4"/>
    <w:rsid w:val="70F73101"/>
    <w:rsid w:val="70F74EAF"/>
    <w:rsid w:val="70F76C5D"/>
    <w:rsid w:val="70FA547C"/>
    <w:rsid w:val="70FC31A3"/>
    <w:rsid w:val="71153587"/>
    <w:rsid w:val="71173BBA"/>
    <w:rsid w:val="711A294B"/>
    <w:rsid w:val="711C6773"/>
    <w:rsid w:val="711F7F62"/>
    <w:rsid w:val="71211AEC"/>
    <w:rsid w:val="712437CA"/>
    <w:rsid w:val="71285068"/>
    <w:rsid w:val="7129000C"/>
    <w:rsid w:val="712B2DAA"/>
    <w:rsid w:val="712B4B58"/>
    <w:rsid w:val="712E63F7"/>
    <w:rsid w:val="713A2F94"/>
    <w:rsid w:val="713C7F58"/>
    <w:rsid w:val="713E70E6"/>
    <w:rsid w:val="713F23B2"/>
    <w:rsid w:val="713F2B3C"/>
    <w:rsid w:val="71453E6C"/>
    <w:rsid w:val="7148395C"/>
    <w:rsid w:val="714A7F93"/>
    <w:rsid w:val="714D7738"/>
    <w:rsid w:val="714F1CA1"/>
    <w:rsid w:val="71516AF2"/>
    <w:rsid w:val="715702DF"/>
    <w:rsid w:val="715757D5"/>
    <w:rsid w:val="715A47BF"/>
    <w:rsid w:val="715B3A61"/>
    <w:rsid w:val="715C7408"/>
    <w:rsid w:val="715D04B4"/>
    <w:rsid w:val="716063F6"/>
    <w:rsid w:val="71662034"/>
    <w:rsid w:val="716B13F9"/>
    <w:rsid w:val="716F542B"/>
    <w:rsid w:val="71704C61"/>
    <w:rsid w:val="71724535"/>
    <w:rsid w:val="71730CBF"/>
    <w:rsid w:val="717402AD"/>
    <w:rsid w:val="71744751"/>
    <w:rsid w:val="71755DD4"/>
    <w:rsid w:val="717E737E"/>
    <w:rsid w:val="718676FC"/>
    <w:rsid w:val="71A7707E"/>
    <w:rsid w:val="71AA3CCF"/>
    <w:rsid w:val="71B35D6A"/>
    <w:rsid w:val="71BF1DD8"/>
    <w:rsid w:val="71C15A8B"/>
    <w:rsid w:val="71C31235"/>
    <w:rsid w:val="71C40B56"/>
    <w:rsid w:val="71C72AD3"/>
    <w:rsid w:val="71C857C7"/>
    <w:rsid w:val="71CC598B"/>
    <w:rsid w:val="71CC706C"/>
    <w:rsid w:val="71CD20B4"/>
    <w:rsid w:val="71DC1C98"/>
    <w:rsid w:val="71DE00AC"/>
    <w:rsid w:val="71DE606F"/>
    <w:rsid w:val="71E05943"/>
    <w:rsid w:val="71E068C5"/>
    <w:rsid w:val="71E566EE"/>
    <w:rsid w:val="71E76683"/>
    <w:rsid w:val="71E80C9B"/>
    <w:rsid w:val="71EA6A77"/>
    <w:rsid w:val="71F238C8"/>
    <w:rsid w:val="72027E28"/>
    <w:rsid w:val="72037883"/>
    <w:rsid w:val="72050848"/>
    <w:rsid w:val="72090DE1"/>
    <w:rsid w:val="721420C7"/>
    <w:rsid w:val="72176662"/>
    <w:rsid w:val="721F39D6"/>
    <w:rsid w:val="722142B5"/>
    <w:rsid w:val="7231619E"/>
    <w:rsid w:val="723932A5"/>
    <w:rsid w:val="72395053"/>
    <w:rsid w:val="7240541C"/>
    <w:rsid w:val="724062D7"/>
    <w:rsid w:val="72441AEF"/>
    <w:rsid w:val="72454901"/>
    <w:rsid w:val="72476549"/>
    <w:rsid w:val="724A3704"/>
    <w:rsid w:val="724C122A"/>
    <w:rsid w:val="724D3DB3"/>
    <w:rsid w:val="725150D2"/>
    <w:rsid w:val="72534572"/>
    <w:rsid w:val="725F0F5E"/>
    <w:rsid w:val="726227FC"/>
    <w:rsid w:val="726913D4"/>
    <w:rsid w:val="726A7902"/>
    <w:rsid w:val="726C66E4"/>
    <w:rsid w:val="727147ED"/>
    <w:rsid w:val="7276569F"/>
    <w:rsid w:val="727A7B45"/>
    <w:rsid w:val="728409C4"/>
    <w:rsid w:val="728564EA"/>
    <w:rsid w:val="72874010"/>
    <w:rsid w:val="728E1843"/>
    <w:rsid w:val="7292304C"/>
    <w:rsid w:val="72A17916"/>
    <w:rsid w:val="72A24FD6"/>
    <w:rsid w:val="72A2593C"/>
    <w:rsid w:val="72A54198"/>
    <w:rsid w:val="72AC0ED8"/>
    <w:rsid w:val="72AE5A41"/>
    <w:rsid w:val="72B1108D"/>
    <w:rsid w:val="72B56DCF"/>
    <w:rsid w:val="72B868C0"/>
    <w:rsid w:val="72B9516E"/>
    <w:rsid w:val="72BA4EC1"/>
    <w:rsid w:val="72BA5125"/>
    <w:rsid w:val="72C04D08"/>
    <w:rsid w:val="72C116C7"/>
    <w:rsid w:val="72C40DC1"/>
    <w:rsid w:val="72C94629"/>
    <w:rsid w:val="72CB6836"/>
    <w:rsid w:val="72D26876"/>
    <w:rsid w:val="72E35236"/>
    <w:rsid w:val="72E41223"/>
    <w:rsid w:val="72E41E5B"/>
    <w:rsid w:val="72E94CCB"/>
    <w:rsid w:val="72EB459F"/>
    <w:rsid w:val="72F13B80"/>
    <w:rsid w:val="72FA2A34"/>
    <w:rsid w:val="72FA6ED8"/>
    <w:rsid w:val="72FF004B"/>
    <w:rsid w:val="730218E9"/>
    <w:rsid w:val="730D09BA"/>
    <w:rsid w:val="7315161C"/>
    <w:rsid w:val="731C29AB"/>
    <w:rsid w:val="731D4975"/>
    <w:rsid w:val="731E2BC7"/>
    <w:rsid w:val="73217FC1"/>
    <w:rsid w:val="73230A3E"/>
    <w:rsid w:val="73353A6C"/>
    <w:rsid w:val="733E2D5A"/>
    <w:rsid w:val="73414D69"/>
    <w:rsid w:val="734170C2"/>
    <w:rsid w:val="734737A0"/>
    <w:rsid w:val="73522870"/>
    <w:rsid w:val="735759D8"/>
    <w:rsid w:val="735760D9"/>
    <w:rsid w:val="73577B73"/>
    <w:rsid w:val="736305DA"/>
    <w:rsid w:val="73634A7D"/>
    <w:rsid w:val="73691968"/>
    <w:rsid w:val="736A42B1"/>
    <w:rsid w:val="73740525"/>
    <w:rsid w:val="73744C3B"/>
    <w:rsid w:val="73766245"/>
    <w:rsid w:val="737A5C6F"/>
    <w:rsid w:val="737E34F6"/>
    <w:rsid w:val="737F73DD"/>
    <w:rsid w:val="737F77C0"/>
    <w:rsid w:val="738E2732"/>
    <w:rsid w:val="738F6104"/>
    <w:rsid w:val="739A7D73"/>
    <w:rsid w:val="739D45E5"/>
    <w:rsid w:val="73A155A6"/>
    <w:rsid w:val="73A32B9F"/>
    <w:rsid w:val="73A874BF"/>
    <w:rsid w:val="73AC36B0"/>
    <w:rsid w:val="73AE39A4"/>
    <w:rsid w:val="73AE7DF5"/>
    <w:rsid w:val="73BA0C09"/>
    <w:rsid w:val="73BA21C4"/>
    <w:rsid w:val="73BB6668"/>
    <w:rsid w:val="73BC5F3C"/>
    <w:rsid w:val="73C179AC"/>
    <w:rsid w:val="73C302AC"/>
    <w:rsid w:val="73C44DF0"/>
    <w:rsid w:val="73C92407"/>
    <w:rsid w:val="73CA0659"/>
    <w:rsid w:val="73CD0149"/>
    <w:rsid w:val="73D150EA"/>
    <w:rsid w:val="73D33317"/>
    <w:rsid w:val="73DA21D9"/>
    <w:rsid w:val="73DB4ECD"/>
    <w:rsid w:val="73DC2DCE"/>
    <w:rsid w:val="73DC65DE"/>
    <w:rsid w:val="73DD139F"/>
    <w:rsid w:val="73DE4104"/>
    <w:rsid w:val="73EE0717"/>
    <w:rsid w:val="73FF5CF0"/>
    <w:rsid w:val="740022CC"/>
    <w:rsid w:val="74087220"/>
    <w:rsid w:val="740D6797"/>
    <w:rsid w:val="740F791E"/>
    <w:rsid w:val="741103CD"/>
    <w:rsid w:val="74111460"/>
    <w:rsid w:val="741946E4"/>
    <w:rsid w:val="7424106B"/>
    <w:rsid w:val="742D0BE7"/>
    <w:rsid w:val="742F4960"/>
    <w:rsid w:val="743016AD"/>
    <w:rsid w:val="74326342"/>
    <w:rsid w:val="74363F40"/>
    <w:rsid w:val="74370BD9"/>
    <w:rsid w:val="744516D2"/>
    <w:rsid w:val="74457F72"/>
    <w:rsid w:val="74471CA9"/>
    <w:rsid w:val="745368A0"/>
    <w:rsid w:val="74554B2D"/>
    <w:rsid w:val="746B4C90"/>
    <w:rsid w:val="74756291"/>
    <w:rsid w:val="747804A3"/>
    <w:rsid w:val="747A57D2"/>
    <w:rsid w:val="747C22E6"/>
    <w:rsid w:val="747D1B6F"/>
    <w:rsid w:val="747F2783"/>
    <w:rsid w:val="74803396"/>
    <w:rsid w:val="748135AD"/>
    <w:rsid w:val="7483563F"/>
    <w:rsid w:val="748606B1"/>
    <w:rsid w:val="74860A13"/>
    <w:rsid w:val="74881FC6"/>
    <w:rsid w:val="748C3B60"/>
    <w:rsid w:val="749018A2"/>
    <w:rsid w:val="74923460"/>
    <w:rsid w:val="74956EB9"/>
    <w:rsid w:val="74995C96"/>
    <w:rsid w:val="749D4B12"/>
    <w:rsid w:val="74AA048A"/>
    <w:rsid w:val="74AF784E"/>
    <w:rsid w:val="74B352DC"/>
    <w:rsid w:val="74BD1F6B"/>
    <w:rsid w:val="74BE7A92"/>
    <w:rsid w:val="74BF4255"/>
    <w:rsid w:val="74C07CAE"/>
    <w:rsid w:val="74C57072"/>
    <w:rsid w:val="74CA62C8"/>
    <w:rsid w:val="74CB0B2C"/>
    <w:rsid w:val="74CC0400"/>
    <w:rsid w:val="74D05907"/>
    <w:rsid w:val="74D44721"/>
    <w:rsid w:val="74D73A5B"/>
    <w:rsid w:val="74E7523A"/>
    <w:rsid w:val="74E94603"/>
    <w:rsid w:val="74ED073E"/>
    <w:rsid w:val="74EE4B2B"/>
    <w:rsid w:val="74F26A50"/>
    <w:rsid w:val="74F3598D"/>
    <w:rsid w:val="74F51705"/>
    <w:rsid w:val="74F636CF"/>
    <w:rsid w:val="74F6722B"/>
    <w:rsid w:val="74F72585"/>
    <w:rsid w:val="74F97589"/>
    <w:rsid w:val="74FC0CE6"/>
    <w:rsid w:val="7500429F"/>
    <w:rsid w:val="750428F6"/>
    <w:rsid w:val="750447EC"/>
    <w:rsid w:val="750A2CD7"/>
    <w:rsid w:val="750B717B"/>
    <w:rsid w:val="750C3098"/>
    <w:rsid w:val="750E0A19"/>
    <w:rsid w:val="751029E3"/>
    <w:rsid w:val="75130218"/>
    <w:rsid w:val="75153B55"/>
    <w:rsid w:val="75157F0B"/>
    <w:rsid w:val="751A116C"/>
    <w:rsid w:val="751F5FF8"/>
    <w:rsid w:val="7521074C"/>
    <w:rsid w:val="752313BB"/>
    <w:rsid w:val="7524023C"/>
    <w:rsid w:val="75241FEA"/>
    <w:rsid w:val="75263FB5"/>
    <w:rsid w:val="752848C1"/>
    <w:rsid w:val="752973EE"/>
    <w:rsid w:val="752C4EA5"/>
    <w:rsid w:val="752D7994"/>
    <w:rsid w:val="752E2E69"/>
    <w:rsid w:val="752E4C17"/>
    <w:rsid w:val="7531003D"/>
    <w:rsid w:val="75364C27"/>
    <w:rsid w:val="753D1807"/>
    <w:rsid w:val="7541494A"/>
    <w:rsid w:val="75420D96"/>
    <w:rsid w:val="75440D92"/>
    <w:rsid w:val="75483F2B"/>
    <w:rsid w:val="754B3A1B"/>
    <w:rsid w:val="75527BF6"/>
    <w:rsid w:val="75662603"/>
    <w:rsid w:val="75681DAF"/>
    <w:rsid w:val="75693EA1"/>
    <w:rsid w:val="756E770A"/>
    <w:rsid w:val="75736E58"/>
    <w:rsid w:val="75742F72"/>
    <w:rsid w:val="757A60AE"/>
    <w:rsid w:val="758331B5"/>
    <w:rsid w:val="758F280E"/>
    <w:rsid w:val="75947170"/>
    <w:rsid w:val="759B3614"/>
    <w:rsid w:val="759E4856"/>
    <w:rsid w:val="759E7FEF"/>
    <w:rsid w:val="75A137D1"/>
    <w:rsid w:val="75A93358"/>
    <w:rsid w:val="75AF75D6"/>
    <w:rsid w:val="75B134C4"/>
    <w:rsid w:val="75B72E5F"/>
    <w:rsid w:val="75B800A2"/>
    <w:rsid w:val="75BA64AB"/>
    <w:rsid w:val="75BB43C7"/>
    <w:rsid w:val="75BF1D13"/>
    <w:rsid w:val="75BF7F65"/>
    <w:rsid w:val="75C85EF8"/>
    <w:rsid w:val="75CE1F56"/>
    <w:rsid w:val="75D27C98"/>
    <w:rsid w:val="75D7028A"/>
    <w:rsid w:val="75D73501"/>
    <w:rsid w:val="75D91027"/>
    <w:rsid w:val="75E401BE"/>
    <w:rsid w:val="75E874BC"/>
    <w:rsid w:val="75EC4ACB"/>
    <w:rsid w:val="75ED1DC2"/>
    <w:rsid w:val="75EE33BB"/>
    <w:rsid w:val="75F23E97"/>
    <w:rsid w:val="75F573FC"/>
    <w:rsid w:val="75F737D6"/>
    <w:rsid w:val="75F75951"/>
    <w:rsid w:val="75F80396"/>
    <w:rsid w:val="75FC6340"/>
    <w:rsid w:val="75FE00A6"/>
    <w:rsid w:val="760065B4"/>
    <w:rsid w:val="760616F0"/>
    <w:rsid w:val="76087AB0"/>
    <w:rsid w:val="760B42A8"/>
    <w:rsid w:val="7610431D"/>
    <w:rsid w:val="762269BB"/>
    <w:rsid w:val="76263B40"/>
    <w:rsid w:val="76277FE4"/>
    <w:rsid w:val="76285B0A"/>
    <w:rsid w:val="762A1882"/>
    <w:rsid w:val="762D3121"/>
    <w:rsid w:val="76375D4D"/>
    <w:rsid w:val="76397D18"/>
    <w:rsid w:val="7647626D"/>
    <w:rsid w:val="76481D09"/>
    <w:rsid w:val="764B7EB7"/>
    <w:rsid w:val="764D4987"/>
    <w:rsid w:val="76500BBD"/>
    <w:rsid w:val="76501731"/>
    <w:rsid w:val="76515061"/>
    <w:rsid w:val="76593F16"/>
    <w:rsid w:val="76607052"/>
    <w:rsid w:val="7661091E"/>
    <w:rsid w:val="766267E1"/>
    <w:rsid w:val="766537ED"/>
    <w:rsid w:val="766823AB"/>
    <w:rsid w:val="76694B30"/>
    <w:rsid w:val="766A1AF6"/>
    <w:rsid w:val="766A7ED1"/>
    <w:rsid w:val="7677791B"/>
    <w:rsid w:val="76787031"/>
    <w:rsid w:val="767D12F5"/>
    <w:rsid w:val="767E08A8"/>
    <w:rsid w:val="76847DB8"/>
    <w:rsid w:val="768725EE"/>
    <w:rsid w:val="768C510F"/>
    <w:rsid w:val="76942021"/>
    <w:rsid w:val="769A7967"/>
    <w:rsid w:val="769D1A16"/>
    <w:rsid w:val="769F5A96"/>
    <w:rsid w:val="76AA22B2"/>
    <w:rsid w:val="76B64EC4"/>
    <w:rsid w:val="76B86E8E"/>
    <w:rsid w:val="76B92C06"/>
    <w:rsid w:val="76C21ABB"/>
    <w:rsid w:val="76CA15B6"/>
    <w:rsid w:val="76D37824"/>
    <w:rsid w:val="76D65566"/>
    <w:rsid w:val="76D67991"/>
    <w:rsid w:val="76DA62B0"/>
    <w:rsid w:val="76DD1C74"/>
    <w:rsid w:val="76DE441B"/>
    <w:rsid w:val="76E23F0B"/>
    <w:rsid w:val="76E66621"/>
    <w:rsid w:val="76E73FF7"/>
    <w:rsid w:val="76EE7F01"/>
    <w:rsid w:val="76F53C3E"/>
    <w:rsid w:val="76F65C09"/>
    <w:rsid w:val="76F73055"/>
    <w:rsid w:val="76F73FBE"/>
    <w:rsid w:val="76FC0249"/>
    <w:rsid w:val="770F6450"/>
    <w:rsid w:val="7715330D"/>
    <w:rsid w:val="77172806"/>
    <w:rsid w:val="771F6F0D"/>
    <w:rsid w:val="77234EBA"/>
    <w:rsid w:val="7728314C"/>
    <w:rsid w:val="772C162A"/>
    <w:rsid w:val="77316C41"/>
    <w:rsid w:val="77326FEA"/>
    <w:rsid w:val="77470212"/>
    <w:rsid w:val="77471FC0"/>
    <w:rsid w:val="774B1AB0"/>
    <w:rsid w:val="77534E09"/>
    <w:rsid w:val="77540BFC"/>
    <w:rsid w:val="77545D12"/>
    <w:rsid w:val="77577666"/>
    <w:rsid w:val="775D17E4"/>
    <w:rsid w:val="776062ED"/>
    <w:rsid w:val="77674410"/>
    <w:rsid w:val="776C540E"/>
    <w:rsid w:val="776C7F9D"/>
    <w:rsid w:val="776D5ECB"/>
    <w:rsid w:val="776D7E74"/>
    <w:rsid w:val="777162B4"/>
    <w:rsid w:val="7772353B"/>
    <w:rsid w:val="77754D7F"/>
    <w:rsid w:val="77770AF7"/>
    <w:rsid w:val="777A05E8"/>
    <w:rsid w:val="777A3A63"/>
    <w:rsid w:val="777A718A"/>
    <w:rsid w:val="777B3DE6"/>
    <w:rsid w:val="77822FF8"/>
    <w:rsid w:val="77872889"/>
    <w:rsid w:val="778936CB"/>
    <w:rsid w:val="77996CC0"/>
    <w:rsid w:val="779B2966"/>
    <w:rsid w:val="779B621D"/>
    <w:rsid w:val="77A15B74"/>
    <w:rsid w:val="77A2369A"/>
    <w:rsid w:val="77A45665"/>
    <w:rsid w:val="77A45A91"/>
    <w:rsid w:val="77A64F39"/>
    <w:rsid w:val="77A84ACB"/>
    <w:rsid w:val="77AE3DED"/>
    <w:rsid w:val="77B13FDC"/>
    <w:rsid w:val="77BB4DF6"/>
    <w:rsid w:val="77BF119A"/>
    <w:rsid w:val="77BF249E"/>
    <w:rsid w:val="77C17FC5"/>
    <w:rsid w:val="77C33D3D"/>
    <w:rsid w:val="77C61970"/>
    <w:rsid w:val="77C6382D"/>
    <w:rsid w:val="77CD4BBB"/>
    <w:rsid w:val="77CD754F"/>
    <w:rsid w:val="77CF01EC"/>
    <w:rsid w:val="77D76DF1"/>
    <w:rsid w:val="77D95970"/>
    <w:rsid w:val="77DA1086"/>
    <w:rsid w:val="77E150D2"/>
    <w:rsid w:val="77E3618D"/>
    <w:rsid w:val="77E37F3B"/>
    <w:rsid w:val="77E51F05"/>
    <w:rsid w:val="77E82427"/>
    <w:rsid w:val="77E95C0E"/>
    <w:rsid w:val="77EB5041"/>
    <w:rsid w:val="77EE3D80"/>
    <w:rsid w:val="77F51A1C"/>
    <w:rsid w:val="77F8556C"/>
    <w:rsid w:val="78050602"/>
    <w:rsid w:val="78054355"/>
    <w:rsid w:val="7808174F"/>
    <w:rsid w:val="780954C8"/>
    <w:rsid w:val="78127909"/>
    <w:rsid w:val="781400F4"/>
    <w:rsid w:val="78146346"/>
    <w:rsid w:val="78170512"/>
    <w:rsid w:val="78184B6B"/>
    <w:rsid w:val="78184EE6"/>
    <w:rsid w:val="7819395D"/>
    <w:rsid w:val="78195BB8"/>
    <w:rsid w:val="781B5927"/>
    <w:rsid w:val="781C0DBD"/>
    <w:rsid w:val="78212811"/>
    <w:rsid w:val="78252301"/>
    <w:rsid w:val="78286EDF"/>
    <w:rsid w:val="783C79D6"/>
    <w:rsid w:val="783E3D17"/>
    <w:rsid w:val="784626CF"/>
    <w:rsid w:val="78487861"/>
    <w:rsid w:val="784B5AE0"/>
    <w:rsid w:val="784D7AAA"/>
    <w:rsid w:val="784E5EDE"/>
    <w:rsid w:val="78591FAB"/>
    <w:rsid w:val="785C060B"/>
    <w:rsid w:val="785E3A65"/>
    <w:rsid w:val="786A240A"/>
    <w:rsid w:val="786B1CDE"/>
    <w:rsid w:val="78713799"/>
    <w:rsid w:val="78720421"/>
    <w:rsid w:val="787648A7"/>
    <w:rsid w:val="78774B27"/>
    <w:rsid w:val="78867C08"/>
    <w:rsid w:val="7889546D"/>
    <w:rsid w:val="788B0D60"/>
    <w:rsid w:val="78915BE9"/>
    <w:rsid w:val="78931BCD"/>
    <w:rsid w:val="789456D9"/>
    <w:rsid w:val="789631FF"/>
    <w:rsid w:val="789E0306"/>
    <w:rsid w:val="78A3591C"/>
    <w:rsid w:val="78AA4373"/>
    <w:rsid w:val="78AA792C"/>
    <w:rsid w:val="78AB021F"/>
    <w:rsid w:val="78AB0FE7"/>
    <w:rsid w:val="78B6564F"/>
    <w:rsid w:val="78B95140"/>
    <w:rsid w:val="78C0027C"/>
    <w:rsid w:val="78C414E1"/>
    <w:rsid w:val="78C54109"/>
    <w:rsid w:val="78D34496"/>
    <w:rsid w:val="78D45AD6"/>
    <w:rsid w:val="78D635FC"/>
    <w:rsid w:val="78D777F3"/>
    <w:rsid w:val="78DA4219"/>
    <w:rsid w:val="78DE0702"/>
    <w:rsid w:val="78F148D9"/>
    <w:rsid w:val="78F41CD4"/>
    <w:rsid w:val="78F74795"/>
    <w:rsid w:val="78F75BD3"/>
    <w:rsid w:val="78FC4626"/>
    <w:rsid w:val="78FD1020"/>
    <w:rsid w:val="78FD327E"/>
    <w:rsid w:val="79046736"/>
    <w:rsid w:val="79050385"/>
    <w:rsid w:val="79054E0D"/>
    <w:rsid w:val="79083A3B"/>
    <w:rsid w:val="790C34C1"/>
    <w:rsid w:val="791505C8"/>
    <w:rsid w:val="791611CC"/>
    <w:rsid w:val="791800B8"/>
    <w:rsid w:val="7919798C"/>
    <w:rsid w:val="79206F6D"/>
    <w:rsid w:val="79240021"/>
    <w:rsid w:val="792425B9"/>
    <w:rsid w:val="792A3948"/>
    <w:rsid w:val="792C34AB"/>
    <w:rsid w:val="792C3B64"/>
    <w:rsid w:val="79314CD6"/>
    <w:rsid w:val="7936053E"/>
    <w:rsid w:val="793B5B55"/>
    <w:rsid w:val="793C6E8B"/>
    <w:rsid w:val="793D622D"/>
    <w:rsid w:val="7944329D"/>
    <w:rsid w:val="794B31EF"/>
    <w:rsid w:val="794F7877"/>
    <w:rsid w:val="79520923"/>
    <w:rsid w:val="795409C4"/>
    <w:rsid w:val="79554E68"/>
    <w:rsid w:val="79556C16"/>
    <w:rsid w:val="79570957"/>
    <w:rsid w:val="795A7965"/>
    <w:rsid w:val="795F29D1"/>
    <w:rsid w:val="79667075"/>
    <w:rsid w:val="7967694A"/>
    <w:rsid w:val="796D6B4E"/>
    <w:rsid w:val="79703A50"/>
    <w:rsid w:val="79752082"/>
    <w:rsid w:val="797B5EB9"/>
    <w:rsid w:val="797D43BF"/>
    <w:rsid w:val="79856DD0"/>
    <w:rsid w:val="798615E4"/>
    <w:rsid w:val="798964F8"/>
    <w:rsid w:val="799650EA"/>
    <w:rsid w:val="79986B03"/>
    <w:rsid w:val="799F60E4"/>
    <w:rsid w:val="799F7E92"/>
    <w:rsid w:val="79A60082"/>
    <w:rsid w:val="79A82ADE"/>
    <w:rsid w:val="79AB2CDA"/>
    <w:rsid w:val="79AC3293"/>
    <w:rsid w:val="79AC4709"/>
    <w:rsid w:val="79B32C14"/>
    <w:rsid w:val="79B361DE"/>
    <w:rsid w:val="79BE6693"/>
    <w:rsid w:val="79BF6786"/>
    <w:rsid w:val="79C21DD2"/>
    <w:rsid w:val="79C33A37"/>
    <w:rsid w:val="79C63670"/>
    <w:rsid w:val="79C63995"/>
    <w:rsid w:val="79CA4005"/>
    <w:rsid w:val="79CB5807"/>
    <w:rsid w:val="79CE5FD5"/>
    <w:rsid w:val="79D23622"/>
    <w:rsid w:val="79D264B9"/>
    <w:rsid w:val="79D815F5"/>
    <w:rsid w:val="79DD4C0A"/>
    <w:rsid w:val="79E47EE6"/>
    <w:rsid w:val="79E93803"/>
    <w:rsid w:val="79ED32F3"/>
    <w:rsid w:val="79EF21D4"/>
    <w:rsid w:val="79F3642F"/>
    <w:rsid w:val="79FB4945"/>
    <w:rsid w:val="79FC035B"/>
    <w:rsid w:val="7A026128"/>
    <w:rsid w:val="7A036672"/>
    <w:rsid w:val="7A040107"/>
    <w:rsid w:val="7A083C89"/>
    <w:rsid w:val="7A0A5C53"/>
    <w:rsid w:val="7A0F305C"/>
    <w:rsid w:val="7A1268B5"/>
    <w:rsid w:val="7A130A22"/>
    <w:rsid w:val="7A146AD1"/>
    <w:rsid w:val="7A225FA5"/>
    <w:rsid w:val="7A23239F"/>
    <w:rsid w:val="7A2605B3"/>
    <w:rsid w:val="7A2B19F7"/>
    <w:rsid w:val="7A381CD7"/>
    <w:rsid w:val="7A391D16"/>
    <w:rsid w:val="7A3935EA"/>
    <w:rsid w:val="7A3A5E03"/>
    <w:rsid w:val="7A3B22B0"/>
    <w:rsid w:val="7A427A45"/>
    <w:rsid w:val="7A440A39"/>
    <w:rsid w:val="7A454EDD"/>
    <w:rsid w:val="7A4D5B40"/>
    <w:rsid w:val="7A502090"/>
    <w:rsid w:val="7A560E98"/>
    <w:rsid w:val="7A5F5873"/>
    <w:rsid w:val="7A603AC5"/>
    <w:rsid w:val="7A640D00"/>
    <w:rsid w:val="7A6F3D08"/>
    <w:rsid w:val="7A70182E"/>
    <w:rsid w:val="7A7237F8"/>
    <w:rsid w:val="7A776062"/>
    <w:rsid w:val="7A7E738E"/>
    <w:rsid w:val="7A7F5BAC"/>
    <w:rsid w:val="7A827EE4"/>
    <w:rsid w:val="7A831561"/>
    <w:rsid w:val="7A996FD7"/>
    <w:rsid w:val="7A9C48E1"/>
    <w:rsid w:val="7AA045CD"/>
    <w:rsid w:val="7AA8634B"/>
    <w:rsid w:val="7AAA6FF3"/>
    <w:rsid w:val="7AAE5ECE"/>
    <w:rsid w:val="7AAF05A8"/>
    <w:rsid w:val="7AB12572"/>
    <w:rsid w:val="7AB65C42"/>
    <w:rsid w:val="7AB7745D"/>
    <w:rsid w:val="7ABB21BA"/>
    <w:rsid w:val="7ABE07EB"/>
    <w:rsid w:val="7ABE4BE6"/>
    <w:rsid w:val="7AC57392"/>
    <w:rsid w:val="7AC73008"/>
    <w:rsid w:val="7ACA40BE"/>
    <w:rsid w:val="7ACA7190"/>
    <w:rsid w:val="7AD63D87"/>
    <w:rsid w:val="7ADA66B2"/>
    <w:rsid w:val="7ADD7820"/>
    <w:rsid w:val="7AE44D35"/>
    <w:rsid w:val="7AE82D4D"/>
    <w:rsid w:val="7AE84D70"/>
    <w:rsid w:val="7AEE7B6A"/>
    <w:rsid w:val="7AEF4E49"/>
    <w:rsid w:val="7AF16E13"/>
    <w:rsid w:val="7AF27833"/>
    <w:rsid w:val="7AF81F4F"/>
    <w:rsid w:val="7AFD5155"/>
    <w:rsid w:val="7B05641A"/>
    <w:rsid w:val="7B0703E4"/>
    <w:rsid w:val="7B137AB9"/>
    <w:rsid w:val="7B152B01"/>
    <w:rsid w:val="7B1978BA"/>
    <w:rsid w:val="7B29035B"/>
    <w:rsid w:val="7B2A7C2F"/>
    <w:rsid w:val="7B310FBD"/>
    <w:rsid w:val="7B31720F"/>
    <w:rsid w:val="7B3D1D1C"/>
    <w:rsid w:val="7B3F192C"/>
    <w:rsid w:val="7B446674"/>
    <w:rsid w:val="7B47644A"/>
    <w:rsid w:val="7B4909FD"/>
    <w:rsid w:val="7B4D06F3"/>
    <w:rsid w:val="7B4E7DC1"/>
    <w:rsid w:val="7B537186"/>
    <w:rsid w:val="7B545768"/>
    <w:rsid w:val="7B5D6078"/>
    <w:rsid w:val="7B643607"/>
    <w:rsid w:val="7B665EBE"/>
    <w:rsid w:val="7B670E83"/>
    <w:rsid w:val="7B6A56F1"/>
    <w:rsid w:val="7B75534E"/>
    <w:rsid w:val="7B7974B2"/>
    <w:rsid w:val="7B7A6E08"/>
    <w:rsid w:val="7B7D2454"/>
    <w:rsid w:val="7B845591"/>
    <w:rsid w:val="7B8657AD"/>
    <w:rsid w:val="7B8726D4"/>
    <w:rsid w:val="7B875081"/>
    <w:rsid w:val="7B8878D2"/>
    <w:rsid w:val="7B892BA7"/>
    <w:rsid w:val="7B8B2DC3"/>
    <w:rsid w:val="7B91526C"/>
    <w:rsid w:val="7B91559C"/>
    <w:rsid w:val="7B93285B"/>
    <w:rsid w:val="7B9559F0"/>
    <w:rsid w:val="7B9E23CB"/>
    <w:rsid w:val="7B9E367B"/>
    <w:rsid w:val="7B9F061D"/>
    <w:rsid w:val="7BA07EF1"/>
    <w:rsid w:val="7BA2010D"/>
    <w:rsid w:val="7BA4776E"/>
    <w:rsid w:val="7BA619AB"/>
    <w:rsid w:val="7BB13039"/>
    <w:rsid w:val="7BB36320"/>
    <w:rsid w:val="7BB37C24"/>
    <w:rsid w:val="7BBE3D5A"/>
    <w:rsid w:val="7BCB31C0"/>
    <w:rsid w:val="7BCE7364"/>
    <w:rsid w:val="7BD04A47"/>
    <w:rsid w:val="7BD059A3"/>
    <w:rsid w:val="7BDD1E8F"/>
    <w:rsid w:val="7BDE68DC"/>
    <w:rsid w:val="7BDF773E"/>
    <w:rsid w:val="7BE00A6E"/>
    <w:rsid w:val="7BE02D92"/>
    <w:rsid w:val="7BE1474D"/>
    <w:rsid w:val="7BED62B3"/>
    <w:rsid w:val="7BED75DA"/>
    <w:rsid w:val="7BEE5100"/>
    <w:rsid w:val="7BF0112A"/>
    <w:rsid w:val="7BF346AA"/>
    <w:rsid w:val="7BF41C9D"/>
    <w:rsid w:val="7BFA6928"/>
    <w:rsid w:val="7C003F10"/>
    <w:rsid w:val="7C051C0A"/>
    <w:rsid w:val="7C05456E"/>
    <w:rsid w:val="7C08563F"/>
    <w:rsid w:val="7C0A3E77"/>
    <w:rsid w:val="7C102EE4"/>
    <w:rsid w:val="7C105077"/>
    <w:rsid w:val="7C1B40A2"/>
    <w:rsid w:val="7C255F42"/>
    <w:rsid w:val="7C27451F"/>
    <w:rsid w:val="7C340CAD"/>
    <w:rsid w:val="7C3F0EFF"/>
    <w:rsid w:val="7C3F595C"/>
    <w:rsid w:val="7C4116D4"/>
    <w:rsid w:val="7C462ADF"/>
    <w:rsid w:val="7C484596"/>
    <w:rsid w:val="7C4938CE"/>
    <w:rsid w:val="7C4B491D"/>
    <w:rsid w:val="7C4E4579"/>
    <w:rsid w:val="7C530260"/>
    <w:rsid w:val="7C563007"/>
    <w:rsid w:val="7C5C650E"/>
    <w:rsid w:val="7C5F1B5A"/>
    <w:rsid w:val="7C5F7DAC"/>
    <w:rsid w:val="7C644622"/>
    <w:rsid w:val="7C6929D9"/>
    <w:rsid w:val="7C6C0463"/>
    <w:rsid w:val="7C6F6241"/>
    <w:rsid w:val="7C743857"/>
    <w:rsid w:val="7C7C3C7B"/>
    <w:rsid w:val="7C7D3EF0"/>
    <w:rsid w:val="7C854FAF"/>
    <w:rsid w:val="7C8810B1"/>
    <w:rsid w:val="7C894284"/>
    <w:rsid w:val="7C896BD7"/>
    <w:rsid w:val="7C8C02BC"/>
    <w:rsid w:val="7C8E7818"/>
    <w:rsid w:val="7C9537CE"/>
    <w:rsid w:val="7C975798"/>
    <w:rsid w:val="7C9833C0"/>
    <w:rsid w:val="7CA75AD7"/>
    <w:rsid w:val="7CAF2AE1"/>
    <w:rsid w:val="7CAF313F"/>
    <w:rsid w:val="7CB047A6"/>
    <w:rsid w:val="7CB72A0B"/>
    <w:rsid w:val="7CBB7EEA"/>
    <w:rsid w:val="7CBF3D68"/>
    <w:rsid w:val="7CC26D85"/>
    <w:rsid w:val="7CC815B4"/>
    <w:rsid w:val="7CD12A58"/>
    <w:rsid w:val="7CD460A4"/>
    <w:rsid w:val="7CD82038"/>
    <w:rsid w:val="7CDA06A4"/>
    <w:rsid w:val="7CDC13FD"/>
    <w:rsid w:val="7CE21FAC"/>
    <w:rsid w:val="7CE35B78"/>
    <w:rsid w:val="7CE64BE9"/>
    <w:rsid w:val="7CE65DD7"/>
    <w:rsid w:val="7CE86B63"/>
    <w:rsid w:val="7CEA00DC"/>
    <w:rsid w:val="7CEE13CB"/>
    <w:rsid w:val="7CF11294"/>
    <w:rsid w:val="7CF1177D"/>
    <w:rsid w:val="7CF65094"/>
    <w:rsid w:val="7CFB0323"/>
    <w:rsid w:val="7CFB7AD5"/>
    <w:rsid w:val="7CFD7079"/>
    <w:rsid w:val="7CFF38F7"/>
    <w:rsid w:val="7D070489"/>
    <w:rsid w:val="7D0746CC"/>
    <w:rsid w:val="7D097EE8"/>
    <w:rsid w:val="7D0A41BC"/>
    <w:rsid w:val="7D0B4E64"/>
    <w:rsid w:val="7D144B7B"/>
    <w:rsid w:val="7D192445"/>
    <w:rsid w:val="7D1E3EA3"/>
    <w:rsid w:val="7D1E7B25"/>
    <w:rsid w:val="7D2117F9"/>
    <w:rsid w:val="7D236A2D"/>
    <w:rsid w:val="7D276B1C"/>
    <w:rsid w:val="7D284155"/>
    <w:rsid w:val="7D2A2168"/>
    <w:rsid w:val="7D30750B"/>
    <w:rsid w:val="7D322C8B"/>
    <w:rsid w:val="7D4A0A5C"/>
    <w:rsid w:val="7D4E22FA"/>
    <w:rsid w:val="7D547510"/>
    <w:rsid w:val="7D547E53"/>
    <w:rsid w:val="7D575E17"/>
    <w:rsid w:val="7D582360"/>
    <w:rsid w:val="7D605001"/>
    <w:rsid w:val="7D611803"/>
    <w:rsid w:val="7D630B9F"/>
    <w:rsid w:val="7D634C74"/>
    <w:rsid w:val="7D670E17"/>
    <w:rsid w:val="7D6732E6"/>
    <w:rsid w:val="7D6E02A7"/>
    <w:rsid w:val="7D6E474B"/>
    <w:rsid w:val="7D6F16F7"/>
    <w:rsid w:val="7D7358BD"/>
    <w:rsid w:val="7D736783"/>
    <w:rsid w:val="7D780888"/>
    <w:rsid w:val="7D793C67"/>
    <w:rsid w:val="7D7B0C16"/>
    <w:rsid w:val="7D7B29C4"/>
    <w:rsid w:val="7D7D1186"/>
    <w:rsid w:val="7D7D2BE0"/>
    <w:rsid w:val="7D8019F8"/>
    <w:rsid w:val="7D8306B2"/>
    <w:rsid w:val="7D857AB1"/>
    <w:rsid w:val="7D871368"/>
    <w:rsid w:val="7D8F72E2"/>
    <w:rsid w:val="7D9121E7"/>
    <w:rsid w:val="7D937D0D"/>
    <w:rsid w:val="7D943A85"/>
    <w:rsid w:val="7D9715CB"/>
    <w:rsid w:val="7D9D293A"/>
    <w:rsid w:val="7DA5518B"/>
    <w:rsid w:val="7DA737B9"/>
    <w:rsid w:val="7DAA046C"/>
    <w:rsid w:val="7DAC5273"/>
    <w:rsid w:val="7DAE4304"/>
    <w:rsid w:val="7DB555E1"/>
    <w:rsid w:val="7DB67EA0"/>
    <w:rsid w:val="7DB83C18"/>
    <w:rsid w:val="7DBA34EC"/>
    <w:rsid w:val="7DBA4D6E"/>
    <w:rsid w:val="7DBD2FDC"/>
    <w:rsid w:val="7DBD6D0B"/>
    <w:rsid w:val="7DBE34BC"/>
    <w:rsid w:val="7DBF3E70"/>
    <w:rsid w:val="7DC6783B"/>
    <w:rsid w:val="7DC960C9"/>
    <w:rsid w:val="7DCB6D1E"/>
    <w:rsid w:val="7DCC1471"/>
    <w:rsid w:val="7DCC321F"/>
    <w:rsid w:val="7DCE6F97"/>
    <w:rsid w:val="7DD35495"/>
    <w:rsid w:val="7DD63036"/>
    <w:rsid w:val="7DD8633F"/>
    <w:rsid w:val="7DDF11A4"/>
    <w:rsid w:val="7DE762AB"/>
    <w:rsid w:val="7DF033B2"/>
    <w:rsid w:val="7DF10ED8"/>
    <w:rsid w:val="7DF478B8"/>
    <w:rsid w:val="7DF509C8"/>
    <w:rsid w:val="7DF775D2"/>
    <w:rsid w:val="7DF864BB"/>
    <w:rsid w:val="7DFD0923"/>
    <w:rsid w:val="7E020EFA"/>
    <w:rsid w:val="7E026C41"/>
    <w:rsid w:val="7E0D0E2A"/>
    <w:rsid w:val="7E12157A"/>
    <w:rsid w:val="7E124581"/>
    <w:rsid w:val="7E13240C"/>
    <w:rsid w:val="7E150784"/>
    <w:rsid w:val="7E1626EC"/>
    <w:rsid w:val="7E1C158F"/>
    <w:rsid w:val="7E1C5F55"/>
    <w:rsid w:val="7E1E7585"/>
    <w:rsid w:val="7E1F7672"/>
    <w:rsid w:val="7E2264E8"/>
    <w:rsid w:val="7E2444E5"/>
    <w:rsid w:val="7E244E09"/>
    <w:rsid w:val="7E266DD3"/>
    <w:rsid w:val="7E2C26EF"/>
    <w:rsid w:val="7E2D1F10"/>
    <w:rsid w:val="7E2D5BBE"/>
    <w:rsid w:val="7E2E1F97"/>
    <w:rsid w:val="7E2E3EDA"/>
    <w:rsid w:val="7E3037AE"/>
    <w:rsid w:val="7E327526"/>
    <w:rsid w:val="7E37199E"/>
    <w:rsid w:val="7E386B07"/>
    <w:rsid w:val="7E3A287F"/>
    <w:rsid w:val="7E3C2153"/>
    <w:rsid w:val="7E3C54ED"/>
    <w:rsid w:val="7E4454AB"/>
    <w:rsid w:val="7E462FD2"/>
    <w:rsid w:val="7E492AC2"/>
    <w:rsid w:val="7E4F632A"/>
    <w:rsid w:val="7E562F54"/>
    <w:rsid w:val="7E5F22E5"/>
    <w:rsid w:val="7E663674"/>
    <w:rsid w:val="7E6671D0"/>
    <w:rsid w:val="7E6D661C"/>
    <w:rsid w:val="7E7044F2"/>
    <w:rsid w:val="7E72500E"/>
    <w:rsid w:val="7E744535"/>
    <w:rsid w:val="7E7F7F64"/>
    <w:rsid w:val="7E912EDE"/>
    <w:rsid w:val="7E94162E"/>
    <w:rsid w:val="7E947067"/>
    <w:rsid w:val="7E996C87"/>
    <w:rsid w:val="7EA148AD"/>
    <w:rsid w:val="7EA163F7"/>
    <w:rsid w:val="7EA77C3D"/>
    <w:rsid w:val="7EA85A3A"/>
    <w:rsid w:val="7EAC4A5E"/>
    <w:rsid w:val="7EAF6DC9"/>
    <w:rsid w:val="7EBC55B1"/>
    <w:rsid w:val="7EC30AC6"/>
    <w:rsid w:val="7EC34622"/>
    <w:rsid w:val="7ECD1ADF"/>
    <w:rsid w:val="7ECF1219"/>
    <w:rsid w:val="7ED06D3F"/>
    <w:rsid w:val="7ED14F91"/>
    <w:rsid w:val="7ED44A81"/>
    <w:rsid w:val="7ED92098"/>
    <w:rsid w:val="7EE06F82"/>
    <w:rsid w:val="7EE50A3C"/>
    <w:rsid w:val="7EE94FE0"/>
    <w:rsid w:val="7EEA59A1"/>
    <w:rsid w:val="7EED169F"/>
    <w:rsid w:val="7EED78F1"/>
    <w:rsid w:val="7EF0118F"/>
    <w:rsid w:val="7EFA151C"/>
    <w:rsid w:val="7EFB091C"/>
    <w:rsid w:val="7EFE38AC"/>
    <w:rsid w:val="7F0435D0"/>
    <w:rsid w:val="7F04557B"/>
    <w:rsid w:val="7F0935E3"/>
    <w:rsid w:val="7F0D1D41"/>
    <w:rsid w:val="7F10538E"/>
    <w:rsid w:val="7F127657"/>
    <w:rsid w:val="7F166E48"/>
    <w:rsid w:val="7F1B445E"/>
    <w:rsid w:val="7F2113AE"/>
    <w:rsid w:val="7F33320A"/>
    <w:rsid w:val="7F372EC4"/>
    <w:rsid w:val="7F3A48E2"/>
    <w:rsid w:val="7F3B36DF"/>
    <w:rsid w:val="7F3B57FD"/>
    <w:rsid w:val="7F3B68AE"/>
    <w:rsid w:val="7F3D3720"/>
    <w:rsid w:val="7F403EC5"/>
    <w:rsid w:val="7F4A6AF1"/>
    <w:rsid w:val="7F4E6CE9"/>
    <w:rsid w:val="7F595389"/>
    <w:rsid w:val="7F5A2F41"/>
    <w:rsid w:val="7F5B2AAD"/>
    <w:rsid w:val="7F5F07EF"/>
    <w:rsid w:val="7F606315"/>
    <w:rsid w:val="7F611120"/>
    <w:rsid w:val="7F627251"/>
    <w:rsid w:val="7F676370"/>
    <w:rsid w:val="7F6F47AA"/>
    <w:rsid w:val="7F710522"/>
    <w:rsid w:val="7F743B6E"/>
    <w:rsid w:val="7F7701BA"/>
    <w:rsid w:val="7F8A2C6E"/>
    <w:rsid w:val="7F8B4720"/>
    <w:rsid w:val="7F8B7D15"/>
    <w:rsid w:val="7F8C2C66"/>
    <w:rsid w:val="7F8D69DE"/>
    <w:rsid w:val="7F913FB6"/>
    <w:rsid w:val="7F9B559F"/>
    <w:rsid w:val="7F9C33C8"/>
    <w:rsid w:val="7F9D2B3C"/>
    <w:rsid w:val="7F9F508F"/>
    <w:rsid w:val="7FA61EB0"/>
    <w:rsid w:val="7FA909D0"/>
    <w:rsid w:val="7FAC3308"/>
    <w:rsid w:val="7FAE52D2"/>
    <w:rsid w:val="7FB421BD"/>
    <w:rsid w:val="7FB56661"/>
    <w:rsid w:val="7FBD3767"/>
    <w:rsid w:val="7FC11D7C"/>
    <w:rsid w:val="7FC1285A"/>
    <w:rsid w:val="7FC443B0"/>
    <w:rsid w:val="7FCA3B6A"/>
    <w:rsid w:val="7FCE14D1"/>
    <w:rsid w:val="7FD10FC1"/>
    <w:rsid w:val="7FD34D39"/>
    <w:rsid w:val="7FE23045"/>
    <w:rsid w:val="7FEA24F9"/>
    <w:rsid w:val="7FEB2083"/>
    <w:rsid w:val="7FEC7BA9"/>
    <w:rsid w:val="7FEDB20B"/>
    <w:rsid w:val="7FF500C7"/>
    <w:rsid w:val="7FF627D5"/>
    <w:rsid w:val="7FFA4074"/>
    <w:rsid w:val="7FFA5433"/>
    <w:rsid w:val="7FFB7DEC"/>
    <w:rsid w:val="D4FE8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4">
    <w:name w:val="heading 2"/>
    <w:basedOn w:val="1"/>
    <w:next w:val="1"/>
    <w:link w:val="53"/>
    <w:qFormat/>
    <w:uiPriority w:val="9"/>
    <w:pPr>
      <w:keepNext/>
      <w:keepLines/>
      <w:spacing w:beforeLines="50" w:afterLines="50"/>
      <w:outlineLvl w:val="1"/>
    </w:pPr>
    <w:rPr>
      <w:rFonts w:ascii="Times New Roman" w:hAnsi="Times New Roman" w:eastAsia="楷体" w:cstheme="majorBidi"/>
      <w:b/>
      <w:bCs/>
      <w:sz w:val="32"/>
      <w:szCs w:val="32"/>
    </w:rPr>
  </w:style>
  <w:style w:type="paragraph" w:styleId="5">
    <w:name w:val="heading 3"/>
    <w:basedOn w:val="1"/>
    <w:next w:val="1"/>
    <w:link w:val="54"/>
    <w:qFormat/>
    <w:uiPriority w:val="9"/>
    <w:pPr>
      <w:keepNext/>
      <w:keepLines/>
      <w:spacing w:beforeLines="20" w:afterLines="20"/>
      <w:outlineLvl w:val="2"/>
    </w:pPr>
    <w:rPr>
      <w:rFonts w:ascii="Times New Roman" w:hAnsi="Times New Roman" w:eastAsia="仿宋_GB2312"/>
      <w:b/>
      <w:bCs/>
      <w:sz w:val="30"/>
      <w:szCs w:val="32"/>
    </w:rPr>
  </w:style>
  <w:style w:type="paragraph" w:styleId="6">
    <w:name w:val="heading 4"/>
    <w:basedOn w:val="1"/>
    <w:next w:val="1"/>
    <w:link w:val="55"/>
    <w:unhideWhenUsed/>
    <w:qFormat/>
    <w:uiPriority w:val="9"/>
    <w:pPr>
      <w:keepNext/>
      <w:keepLines/>
      <w:spacing w:line="360" w:lineRule="auto"/>
      <w:outlineLvl w:val="3"/>
    </w:pPr>
    <w:rPr>
      <w:rFonts w:asciiTheme="majorHAnsi" w:hAnsiTheme="majorHAnsi" w:eastAsiaTheme="majorEastAsia" w:cstheme="majorBidi"/>
      <w:bCs/>
      <w:sz w:val="28"/>
      <w:szCs w:val="28"/>
    </w:rPr>
  </w:style>
  <w:style w:type="paragraph" w:styleId="7">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54"/>
    <w:autoRedefine/>
    <w:qFormat/>
    <w:uiPriority w:val="0"/>
    <w:pPr>
      <w:spacing w:after="120"/>
    </w:pPr>
    <w:rPr>
      <w:rFonts w:ascii="Calibri" w:hAnsi="Calibri" w:eastAsia="宋体" w:cs="黑体"/>
    </w:rPr>
  </w:style>
  <w:style w:type="paragraph" w:styleId="9">
    <w:name w:val="toc 7"/>
    <w:basedOn w:val="1"/>
    <w:next w:val="1"/>
    <w:autoRedefine/>
    <w:unhideWhenUsed/>
    <w:qFormat/>
    <w:uiPriority w:val="39"/>
    <w:pPr>
      <w:ind w:left="2520" w:leftChars="1200"/>
    </w:pPr>
  </w:style>
  <w:style w:type="paragraph" w:styleId="10">
    <w:name w:val="Normal Indent"/>
    <w:basedOn w:val="1"/>
    <w:autoRedefine/>
    <w:qFormat/>
    <w:uiPriority w:val="0"/>
    <w:pPr>
      <w:spacing w:line="440" w:lineRule="exact"/>
      <w:ind w:firstLine="420"/>
      <w:jc w:val="left"/>
    </w:pPr>
    <w:rPr>
      <w:rFonts w:ascii="Calibri" w:hAnsi="Calibri" w:eastAsia="宋体" w:cs="宋体"/>
      <w:kern w:val="0"/>
      <w:szCs w:val="20"/>
      <w:lang w:eastAsia="en-US"/>
    </w:rPr>
  </w:style>
  <w:style w:type="paragraph" w:styleId="11">
    <w:name w:val="caption"/>
    <w:basedOn w:val="1"/>
    <w:next w:val="1"/>
    <w:autoRedefine/>
    <w:unhideWhenUsed/>
    <w:qFormat/>
    <w:uiPriority w:val="35"/>
    <w:pPr>
      <w:spacing w:line="360" w:lineRule="auto"/>
      <w:ind w:firstLine="200" w:firstLineChars="200"/>
    </w:pPr>
    <w:rPr>
      <w:rFonts w:eastAsia="黑体" w:asciiTheme="majorHAnsi" w:hAnsiTheme="majorHAnsi" w:cstheme="majorBidi"/>
      <w:sz w:val="20"/>
      <w:szCs w:val="20"/>
    </w:rPr>
  </w:style>
  <w:style w:type="paragraph" w:styleId="12">
    <w:name w:val="Document Map"/>
    <w:basedOn w:val="1"/>
    <w:link w:val="162"/>
    <w:autoRedefine/>
    <w:unhideWhenUsed/>
    <w:qFormat/>
    <w:uiPriority w:val="99"/>
    <w:pPr>
      <w:spacing w:line="400" w:lineRule="exact"/>
      <w:ind w:firstLine="200" w:firstLineChars="200"/>
    </w:pPr>
    <w:rPr>
      <w:rFonts w:ascii="宋体" w:eastAsia="宋体"/>
      <w:sz w:val="18"/>
      <w:szCs w:val="18"/>
    </w:rPr>
  </w:style>
  <w:style w:type="paragraph" w:styleId="13">
    <w:name w:val="annotation text"/>
    <w:basedOn w:val="1"/>
    <w:link w:val="61"/>
    <w:autoRedefine/>
    <w:qFormat/>
    <w:uiPriority w:val="0"/>
    <w:pPr>
      <w:jc w:val="left"/>
    </w:pPr>
    <w:rPr>
      <w:rFonts w:ascii="Times New Roman" w:hAnsi="Times New Roman" w:eastAsia="宋体" w:cs="Times New Roman"/>
      <w:color w:val="000000"/>
      <w:sz w:val="24"/>
      <w:szCs w:val="24"/>
    </w:rPr>
  </w:style>
  <w:style w:type="paragraph" w:styleId="14">
    <w:name w:val="Body Text Indent"/>
    <w:basedOn w:val="1"/>
    <w:link w:val="150"/>
    <w:qFormat/>
    <w:uiPriority w:val="0"/>
    <w:pPr>
      <w:spacing w:line="440" w:lineRule="exact"/>
      <w:ind w:firstLine="200" w:firstLineChars="200"/>
    </w:pPr>
    <w:rPr>
      <w:rFonts w:ascii="Calibri" w:hAnsi="Calibri" w:eastAsia="宋体" w:cs="黑体"/>
    </w:rPr>
  </w:style>
  <w:style w:type="paragraph" w:styleId="15">
    <w:name w:val="toc 5"/>
    <w:basedOn w:val="1"/>
    <w:next w:val="1"/>
    <w:autoRedefine/>
    <w:unhideWhenUsed/>
    <w:qFormat/>
    <w:uiPriority w:val="39"/>
    <w:pPr>
      <w:ind w:left="1680" w:leftChars="800"/>
    </w:pPr>
  </w:style>
  <w:style w:type="paragraph" w:styleId="16">
    <w:name w:val="toc 3"/>
    <w:basedOn w:val="1"/>
    <w:next w:val="1"/>
    <w:autoRedefine/>
    <w:unhideWhenUsed/>
    <w:qFormat/>
    <w:uiPriority w:val="39"/>
    <w:pPr>
      <w:spacing w:line="360" w:lineRule="auto"/>
      <w:ind w:left="840" w:leftChars="400" w:firstLine="200" w:firstLineChars="200"/>
    </w:pPr>
    <w:rPr>
      <w:rFonts w:ascii="Times New Roman" w:hAnsi="Times New Roman" w:eastAsia="仿宋_GB2312" w:cs="黑体"/>
      <w:sz w:val="30"/>
    </w:rPr>
  </w:style>
  <w:style w:type="paragraph" w:styleId="17">
    <w:name w:val="Plain Text"/>
    <w:basedOn w:val="1"/>
    <w:link w:val="121"/>
    <w:qFormat/>
    <w:uiPriority w:val="0"/>
    <w:rPr>
      <w:rFonts w:ascii="宋体" w:hAnsi="Calibri" w:eastAsia="宋体" w:cs="黑体"/>
      <w:szCs w:val="20"/>
    </w:rPr>
  </w:style>
  <w:style w:type="paragraph" w:styleId="18">
    <w:name w:val="toc 8"/>
    <w:basedOn w:val="1"/>
    <w:next w:val="1"/>
    <w:autoRedefine/>
    <w:unhideWhenUsed/>
    <w:qFormat/>
    <w:uiPriority w:val="39"/>
    <w:pPr>
      <w:ind w:left="2940" w:leftChars="1400"/>
    </w:pPr>
  </w:style>
  <w:style w:type="paragraph" w:styleId="19">
    <w:name w:val="Date"/>
    <w:basedOn w:val="1"/>
    <w:next w:val="1"/>
    <w:link w:val="152"/>
    <w:autoRedefine/>
    <w:qFormat/>
    <w:uiPriority w:val="0"/>
    <w:pPr>
      <w:ind w:left="100" w:leftChars="2500"/>
    </w:pPr>
    <w:rPr>
      <w:rFonts w:ascii="Calibri" w:hAnsi="Calibri" w:eastAsia="宋体" w:cs="黑体"/>
    </w:rPr>
  </w:style>
  <w:style w:type="paragraph" w:styleId="20">
    <w:name w:val="Balloon Text"/>
    <w:basedOn w:val="1"/>
    <w:link w:val="52"/>
    <w:unhideWhenUsed/>
    <w:qFormat/>
    <w:uiPriority w:val="0"/>
    <w:rPr>
      <w:sz w:val="18"/>
      <w:szCs w:val="18"/>
    </w:rPr>
  </w:style>
  <w:style w:type="paragraph" w:styleId="21">
    <w:name w:val="footer"/>
    <w:basedOn w:val="1"/>
    <w:link w:val="58"/>
    <w:autoRedefine/>
    <w:unhideWhenUsed/>
    <w:qFormat/>
    <w:uiPriority w:val="99"/>
    <w:pPr>
      <w:tabs>
        <w:tab w:val="center" w:pos="4153"/>
        <w:tab w:val="right" w:pos="8306"/>
      </w:tabs>
      <w:snapToGrid w:val="0"/>
      <w:ind w:firstLine="200" w:firstLineChars="200"/>
      <w:jc w:val="left"/>
    </w:pPr>
    <w:rPr>
      <w:rFonts w:ascii="Times New Roman" w:hAnsi="Times New Roman" w:eastAsia="仿宋_GB2312"/>
      <w:sz w:val="18"/>
      <w:szCs w:val="18"/>
    </w:rPr>
  </w:style>
  <w:style w:type="paragraph" w:styleId="22">
    <w:name w:val="header"/>
    <w:basedOn w:val="1"/>
    <w:link w:val="57"/>
    <w:unhideWhenUsed/>
    <w:qFormat/>
    <w:uiPriority w:val="99"/>
    <w:pPr>
      <w:pBdr>
        <w:bottom w:val="single" w:color="auto" w:sz="6" w:space="1"/>
      </w:pBdr>
      <w:tabs>
        <w:tab w:val="center" w:pos="4153"/>
        <w:tab w:val="right" w:pos="8306"/>
      </w:tabs>
      <w:snapToGrid w:val="0"/>
      <w:ind w:firstLine="200" w:firstLineChars="200"/>
      <w:jc w:val="center"/>
    </w:pPr>
    <w:rPr>
      <w:rFonts w:ascii="Times New Roman" w:hAnsi="Times New Roman" w:eastAsia="仿宋_GB2312"/>
      <w:sz w:val="18"/>
      <w:szCs w:val="18"/>
    </w:rPr>
  </w:style>
  <w:style w:type="paragraph" w:styleId="23">
    <w:name w:val="toc 1"/>
    <w:basedOn w:val="1"/>
    <w:next w:val="1"/>
    <w:autoRedefine/>
    <w:qFormat/>
    <w:uiPriority w:val="39"/>
    <w:pPr>
      <w:spacing w:line="360" w:lineRule="auto"/>
      <w:ind w:firstLine="200" w:firstLineChars="200"/>
    </w:pPr>
    <w:rPr>
      <w:rFonts w:ascii="Times New Roman" w:hAnsi="Times New Roman" w:eastAsia="仿宋_GB2312" w:cs="黑体"/>
      <w:sz w:val="30"/>
    </w:rPr>
  </w:style>
  <w:style w:type="paragraph" w:styleId="24">
    <w:name w:val="toc 4"/>
    <w:basedOn w:val="1"/>
    <w:next w:val="1"/>
    <w:unhideWhenUsed/>
    <w:qFormat/>
    <w:uiPriority w:val="39"/>
    <w:pPr>
      <w:ind w:left="1260" w:leftChars="600" w:firstLine="200" w:firstLineChars="200"/>
    </w:pPr>
    <w:rPr>
      <w:rFonts w:ascii="Times New Roman" w:hAnsi="Times New Roman" w:eastAsia="仿宋_GB2312"/>
      <w:sz w:val="30"/>
      <w:szCs w:val="21"/>
    </w:rPr>
  </w:style>
  <w:style w:type="paragraph" w:styleId="25">
    <w:name w:val="footnote text"/>
    <w:basedOn w:val="1"/>
    <w:link w:val="66"/>
    <w:qFormat/>
    <w:uiPriority w:val="0"/>
    <w:pPr>
      <w:snapToGrid w:val="0"/>
      <w:spacing w:line="360" w:lineRule="auto"/>
      <w:jc w:val="left"/>
    </w:pPr>
    <w:rPr>
      <w:rFonts w:ascii="Calibri" w:hAnsi="Calibri" w:eastAsia="宋体" w:cs="黑体"/>
      <w:sz w:val="18"/>
    </w:rPr>
  </w:style>
  <w:style w:type="paragraph" w:styleId="26">
    <w:name w:val="toc 6"/>
    <w:basedOn w:val="1"/>
    <w:next w:val="1"/>
    <w:autoRedefine/>
    <w:unhideWhenUsed/>
    <w:qFormat/>
    <w:uiPriority w:val="39"/>
    <w:pPr>
      <w:ind w:left="2100" w:leftChars="1000"/>
    </w:pPr>
  </w:style>
  <w:style w:type="paragraph" w:styleId="27">
    <w:name w:val="Body Text Indent 3"/>
    <w:basedOn w:val="1"/>
    <w:link w:val="151"/>
    <w:qFormat/>
    <w:uiPriority w:val="0"/>
    <w:pPr>
      <w:spacing w:after="120"/>
      <w:ind w:left="420" w:leftChars="200"/>
    </w:pPr>
    <w:rPr>
      <w:rFonts w:ascii="Calibri" w:hAnsi="Calibri" w:eastAsia="宋体" w:cs="黑体"/>
      <w:sz w:val="16"/>
      <w:szCs w:val="16"/>
    </w:rPr>
  </w:style>
  <w:style w:type="paragraph" w:styleId="28">
    <w:name w:val="toc 2"/>
    <w:basedOn w:val="1"/>
    <w:next w:val="1"/>
    <w:autoRedefine/>
    <w:unhideWhenUsed/>
    <w:qFormat/>
    <w:uiPriority w:val="39"/>
    <w:pPr>
      <w:spacing w:line="360" w:lineRule="auto"/>
      <w:ind w:left="420" w:leftChars="200" w:firstLine="200" w:firstLineChars="200"/>
    </w:pPr>
    <w:rPr>
      <w:rFonts w:ascii="Times New Roman" w:hAnsi="Times New Roman" w:eastAsia="仿宋_GB2312" w:cs="黑体"/>
      <w:sz w:val="30"/>
    </w:rPr>
  </w:style>
  <w:style w:type="paragraph" w:styleId="29">
    <w:name w:val="toc 9"/>
    <w:basedOn w:val="1"/>
    <w:next w:val="1"/>
    <w:autoRedefine/>
    <w:unhideWhenUsed/>
    <w:qFormat/>
    <w:uiPriority w:val="39"/>
    <w:pPr>
      <w:ind w:left="3360" w:leftChars="1600"/>
    </w:pPr>
  </w:style>
  <w:style w:type="paragraph" w:styleId="30">
    <w:name w:val="Body Text 2"/>
    <w:basedOn w:val="1"/>
    <w:link w:val="160"/>
    <w:autoRedefine/>
    <w:semiHidden/>
    <w:unhideWhenUsed/>
    <w:qFormat/>
    <w:uiPriority w:val="99"/>
    <w:pPr>
      <w:spacing w:after="120" w:line="480" w:lineRule="auto"/>
      <w:ind w:firstLine="200" w:firstLineChars="200"/>
    </w:pPr>
    <w:rPr>
      <w:rFonts w:ascii="Times New Roman" w:hAnsi="Times New Roman" w:eastAsia="仿宋_GB2312" w:cs="黑体"/>
      <w:sz w:val="30"/>
    </w:rPr>
  </w:style>
  <w:style w:type="paragraph" w:styleId="31">
    <w:name w:val="HTML Preformatted"/>
    <w:basedOn w:val="1"/>
    <w:link w:val="62"/>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32">
    <w:name w:val="Normal (Web)"/>
    <w:basedOn w:val="1"/>
    <w:qFormat/>
    <w:uiPriority w:val="99"/>
    <w:pPr>
      <w:widowControl/>
      <w:spacing w:before="100" w:beforeAutospacing="1" w:after="100" w:afterAutospacing="1" w:line="336" w:lineRule="auto"/>
      <w:jc w:val="left"/>
    </w:pPr>
    <w:rPr>
      <w:rFonts w:ascii="Verdana" w:hAnsi="Verdana" w:eastAsia="宋体" w:cs="宋体"/>
      <w:color w:val="000000"/>
      <w:kern w:val="0"/>
      <w:sz w:val="24"/>
      <w:szCs w:val="24"/>
    </w:rPr>
  </w:style>
  <w:style w:type="paragraph" w:styleId="33">
    <w:name w:val="Title"/>
    <w:basedOn w:val="1"/>
    <w:next w:val="1"/>
    <w:link w:val="208"/>
    <w:autoRedefine/>
    <w:qFormat/>
    <w:uiPriority w:val="10"/>
    <w:pPr>
      <w:spacing w:before="240" w:after="60" w:line="360" w:lineRule="auto"/>
      <w:ind w:firstLine="200" w:firstLineChars="200"/>
      <w:jc w:val="center"/>
      <w:outlineLvl w:val="0"/>
    </w:pPr>
    <w:rPr>
      <w:rFonts w:eastAsia="宋体" w:asciiTheme="majorHAnsi" w:hAnsiTheme="majorHAnsi" w:cstheme="majorBidi"/>
      <w:b/>
      <w:bCs/>
      <w:sz w:val="32"/>
      <w:szCs w:val="32"/>
    </w:rPr>
  </w:style>
  <w:style w:type="paragraph" w:styleId="34">
    <w:name w:val="annotation subject"/>
    <w:basedOn w:val="13"/>
    <w:next w:val="13"/>
    <w:link w:val="210"/>
    <w:autoRedefine/>
    <w:semiHidden/>
    <w:unhideWhenUsed/>
    <w:qFormat/>
    <w:uiPriority w:val="99"/>
    <w:rPr>
      <w:rFonts w:asciiTheme="minorHAnsi" w:hAnsiTheme="minorHAnsi" w:eastAsiaTheme="minorEastAsia" w:cstheme="minorBidi"/>
      <w:b/>
      <w:bCs/>
      <w:color w:val="auto"/>
      <w:sz w:val="21"/>
      <w:szCs w:val="22"/>
    </w:rPr>
  </w:style>
  <w:style w:type="paragraph" w:styleId="35">
    <w:name w:val="Body Text First Indent"/>
    <w:basedOn w:val="2"/>
    <w:link w:val="155"/>
    <w:autoRedefine/>
    <w:qFormat/>
    <w:uiPriority w:val="0"/>
    <w:pPr>
      <w:ind w:firstLine="420" w:firstLineChars="100"/>
    </w:pPr>
  </w:style>
  <w:style w:type="paragraph" w:styleId="36">
    <w:name w:val="Body Text First Indent 2"/>
    <w:basedOn w:val="14"/>
    <w:autoRedefine/>
    <w:qFormat/>
    <w:uiPriority w:val="0"/>
    <w:pPr>
      <w:spacing w:after="0" w:line="500" w:lineRule="exact"/>
      <w:ind w:left="0" w:leftChars="0" w:firstLine="420"/>
    </w:pPr>
    <w:rPr>
      <w:rFonts w:hAnsi="Times New Roman" w:cs="Times New Roman"/>
      <w:sz w:val="30"/>
    </w:rPr>
  </w:style>
  <w:style w:type="table" w:styleId="38">
    <w:name w:val="Table Grid"/>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22"/>
    <w:rPr>
      <w:b/>
      <w:bCs/>
    </w:rPr>
  </w:style>
  <w:style w:type="character" w:styleId="41">
    <w:name w:val="page number"/>
    <w:basedOn w:val="39"/>
    <w:qFormat/>
    <w:uiPriority w:val="0"/>
  </w:style>
  <w:style w:type="character" w:styleId="42">
    <w:name w:val="FollowedHyperlink"/>
    <w:basedOn w:val="39"/>
    <w:semiHidden/>
    <w:unhideWhenUsed/>
    <w:qFormat/>
    <w:uiPriority w:val="99"/>
    <w:rPr>
      <w:color w:val="800080"/>
      <w:u w:val="single"/>
    </w:rPr>
  </w:style>
  <w:style w:type="character" w:styleId="43">
    <w:name w:val="Emphasis"/>
    <w:basedOn w:val="39"/>
    <w:autoRedefine/>
    <w:qFormat/>
    <w:uiPriority w:val="20"/>
    <w:rPr>
      <w:i/>
      <w:iCs/>
    </w:rPr>
  </w:style>
  <w:style w:type="character" w:styleId="44">
    <w:name w:val="Hyperlink"/>
    <w:basedOn w:val="39"/>
    <w:autoRedefine/>
    <w:unhideWhenUsed/>
    <w:qFormat/>
    <w:uiPriority w:val="99"/>
    <w:rPr>
      <w:color w:val="0000FF"/>
      <w:u w:val="single"/>
    </w:rPr>
  </w:style>
  <w:style w:type="character" w:styleId="45">
    <w:name w:val="annotation reference"/>
    <w:basedOn w:val="39"/>
    <w:autoRedefine/>
    <w:unhideWhenUsed/>
    <w:qFormat/>
    <w:uiPriority w:val="0"/>
    <w:rPr>
      <w:sz w:val="21"/>
      <w:szCs w:val="21"/>
    </w:rPr>
  </w:style>
  <w:style w:type="character" w:styleId="46">
    <w:name w:val="footnote reference"/>
    <w:basedOn w:val="39"/>
    <w:qFormat/>
    <w:uiPriority w:val="0"/>
    <w:rPr>
      <w:vertAlign w:val="superscript"/>
    </w:rPr>
  </w:style>
  <w:style w:type="paragraph" w:customStyle="1" w:styleId="47">
    <w:name w:val="BodyText1I2"/>
    <w:basedOn w:val="48"/>
    <w:qFormat/>
    <w:uiPriority w:val="0"/>
    <w:pPr>
      <w:spacing w:after="120" w:line="240" w:lineRule="auto"/>
      <w:ind w:left="0" w:leftChars="0" w:firstLine="880" w:firstLineChars="200"/>
      <w:jc w:val="both"/>
    </w:pPr>
    <w:rPr>
      <w:rFonts w:eastAsia="仿宋_GB2312"/>
      <w:szCs w:val="22"/>
    </w:rPr>
  </w:style>
  <w:style w:type="paragraph" w:customStyle="1" w:styleId="48">
    <w:name w:val="BodyTextIndent"/>
    <w:basedOn w:val="1"/>
    <w:qFormat/>
    <w:uiPriority w:val="0"/>
    <w:pPr>
      <w:spacing w:after="120" w:line="240" w:lineRule="auto"/>
      <w:ind w:left="420" w:leftChars="200"/>
      <w:jc w:val="both"/>
    </w:pPr>
  </w:style>
  <w:style w:type="paragraph" w:styleId="49">
    <w:name w:val="List Paragraph"/>
    <w:basedOn w:val="1"/>
    <w:autoRedefine/>
    <w:qFormat/>
    <w:uiPriority w:val="34"/>
    <w:pPr>
      <w:ind w:firstLine="420" w:firstLineChars="200"/>
    </w:pPr>
  </w:style>
  <w:style w:type="paragraph" w:customStyle="1" w:styleId="50">
    <w:name w:val="p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1">
    <w:name w:val="标题 1 Char"/>
    <w:basedOn w:val="39"/>
    <w:link w:val="3"/>
    <w:autoRedefine/>
    <w:qFormat/>
    <w:uiPriority w:val="9"/>
    <w:rPr>
      <w:rFonts w:ascii="宋体" w:hAnsi="宋体" w:eastAsia="宋体" w:cs="宋体"/>
      <w:b/>
      <w:bCs/>
      <w:kern w:val="36"/>
      <w:sz w:val="48"/>
      <w:szCs w:val="48"/>
    </w:rPr>
  </w:style>
  <w:style w:type="character" w:customStyle="1" w:styleId="52">
    <w:name w:val="批注框文本 Char"/>
    <w:basedOn w:val="39"/>
    <w:link w:val="20"/>
    <w:autoRedefine/>
    <w:qFormat/>
    <w:uiPriority w:val="0"/>
    <w:rPr>
      <w:sz w:val="18"/>
      <w:szCs w:val="18"/>
    </w:rPr>
  </w:style>
  <w:style w:type="character" w:customStyle="1" w:styleId="53">
    <w:name w:val="标题 2 Char"/>
    <w:basedOn w:val="39"/>
    <w:link w:val="4"/>
    <w:qFormat/>
    <w:uiPriority w:val="9"/>
    <w:rPr>
      <w:rFonts w:ascii="Times New Roman" w:hAnsi="Times New Roman" w:eastAsia="楷体" w:cstheme="majorBidi"/>
      <w:b/>
      <w:bCs/>
      <w:sz w:val="32"/>
      <w:szCs w:val="32"/>
    </w:rPr>
  </w:style>
  <w:style w:type="character" w:customStyle="1" w:styleId="54">
    <w:name w:val="标题 3 Char"/>
    <w:basedOn w:val="39"/>
    <w:link w:val="5"/>
    <w:autoRedefine/>
    <w:qFormat/>
    <w:uiPriority w:val="9"/>
    <w:rPr>
      <w:rFonts w:ascii="Times New Roman" w:hAnsi="Times New Roman" w:eastAsia="仿宋_GB2312"/>
      <w:b/>
      <w:bCs/>
      <w:sz w:val="30"/>
      <w:szCs w:val="32"/>
    </w:rPr>
  </w:style>
  <w:style w:type="character" w:customStyle="1" w:styleId="55">
    <w:name w:val="标题 4 Char"/>
    <w:basedOn w:val="39"/>
    <w:link w:val="6"/>
    <w:autoRedefine/>
    <w:qFormat/>
    <w:uiPriority w:val="9"/>
    <w:rPr>
      <w:rFonts w:asciiTheme="majorHAnsi" w:hAnsiTheme="majorHAnsi" w:eastAsiaTheme="majorEastAsia" w:cstheme="majorBidi"/>
      <w:bCs/>
      <w:sz w:val="28"/>
      <w:szCs w:val="28"/>
    </w:rPr>
  </w:style>
  <w:style w:type="paragraph" w:customStyle="1" w:styleId="56">
    <w:name w:val="TOC Heading"/>
    <w:basedOn w:val="3"/>
    <w:next w:val="1"/>
    <w:autoRedefine/>
    <w:unhideWhenUsed/>
    <w:qFormat/>
    <w:uiPriority w:val="39"/>
    <w:pPr>
      <w:keepNext/>
      <w:keepLines/>
      <w:spacing w:beforeLines="50" w:beforeAutospacing="0" w:afterLines="50" w:afterAutospacing="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57">
    <w:name w:val="页眉 Char"/>
    <w:basedOn w:val="39"/>
    <w:link w:val="22"/>
    <w:autoRedefine/>
    <w:qFormat/>
    <w:uiPriority w:val="99"/>
    <w:rPr>
      <w:rFonts w:ascii="Times New Roman" w:hAnsi="Times New Roman" w:eastAsia="仿宋_GB2312"/>
      <w:sz w:val="18"/>
      <w:szCs w:val="18"/>
    </w:rPr>
  </w:style>
  <w:style w:type="character" w:customStyle="1" w:styleId="58">
    <w:name w:val="页脚 Char"/>
    <w:basedOn w:val="39"/>
    <w:link w:val="21"/>
    <w:autoRedefine/>
    <w:qFormat/>
    <w:uiPriority w:val="99"/>
    <w:rPr>
      <w:rFonts w:ascii="Times New Roman" w:hAnsi="Times New Roman" w:eastAsia="仿宋_GB2312"/>
      <w:sz w:val="18"/>
      <w:szCs w:val="18"/>
    </w:rPr>
  </w:style>
  <w:style w:type="paragraph" w:styleId="59">
    <w:name w:val="No Spacing"/>
    <w:qFormat/>
    <w:uiPriority w:val="1"/>
    <w:pPr>
      <w:widowControl w:val="0"/>
      <w:ind w:firstLine="200" w:firstLineChars="200"/>
      <w:jc w:val="both"/>
    </w:pPr>
    <w:rPr>
      <w:rFonts w:ascii="Times New Roman" w:hAnsi="Times New Roman" w:eastAsia="仿宋_GB2312" w:cstheme="minorBidi"/>
      <w:kern w:val="2"/>
      <w:sz w:val="32"/>
      <w:szCs w:val="21"/>
      <w:lang w:val="en-US" w:eastAsia="zh-CN" w:bidi="ar-SA"/>
    </w:rPr>
  </w:style>
  <w:style w:type="character" w:styleId="60">
    <w:name w:val="Placeholder Text"/>
    <w:basedOn w:val="39"/>
    <w:autoRedefine/>
    <w:semiHidden/>
    <w:qFormat/>
    <w:uiPriority w:val="99"/>
    <w:rPr>
      <w:color w:val="808080"/>
    </w:rPr>
  </w:style>
  <w:style w:type="character" w:customStyle="1" w:styleId="61">
    <w:name w:val="批注文字 Char"/>
    <w:basedOn w:val="39"/>
    <w:link w:val="13"/>
    <w:autoRedefine/>
    <w:qFormat/>
    <w:uiPriority w:val="0"/>
    <w:rPr>
      <w:rFonts w:ascii="Times New Roman" w:hAnsi="Times New Roman" w:eastAsia="宋体" w:cs="Times New Roman"/>
      <w:color w:val="000000"/>
      <w:sz w:val="24"/>
      <w:szCs w:val="24"/>
    </w:rPr>
  </w:style>
  <w:style w:type="character" w:customStyle="1" w:styleId="62">
    <w:name w:val="HTML 预设格式 Char"/>
    <w:basedOn w:val="39"/>
    <w:link w:val="31"/>
    <w:autoRedefine/>
    <w:qFormat/>
    <w:uiPriority w:val="99"/>
    <w:rPr>
      <w:rFonts w:ascii="宋体" w:hAnsi="宋体" w:eastAsia="宋体" w:cs="Times New Roman"/>
      <w:kern w:val="0"/>
      <w:sz w:val="24"/>
      <w:szCs w:val="24"/>
    </w:rPr>
  </w:style>
  <w:style w:type="paragraph" w:customStyle="1" w:styleId="63">
    <w:name w:val="Normal Indent1"/>
    <w:basedOn w:val="1"/>
    <w:autoRedefine/>
    <w:qFormat/>
    <w:uiPriority w:val="0"/>
    <w:pPr>
      <w:ind w:firstLine="420" w:firstLineChars="200"/>
    </w:pPr>
    <w:rPr>
      <w:rFonts w:hint="eastAsia" w:ascii="Calibri" w:hAnsi="Calibri" w:eastAsia="宋体" w:cs="黑体"/>
    </w:rPr>
  </w:style>
  <w:style w:type="paragraph" w:customStyle="1" w:styleId="64">
    <w:name w:val="表字"/>
    <w:basedOn w:val="1"/>
    <w:link w:val="65"/>
    <w:autoRedefine/>
    <w:qFormat/>
    <w:uiPriority w:val="0"/>
    <w:pPr>
      <w:snapToGrid w:val="0"/>
    </w:pPr>
    <w:rPr>
      <w:rFonts w:ascii="Times New Roman" w:hAnsi="Times New Roman" w:eastAsia="宋体" w:cs="黑体"/>
      <w:sz w:val="28"/>
    </w:rPr>
  </w:style>
  <w:style w:type="character" w:customStyle="1" w:styleId="65">
    <w:name w:val="表字 Char"/>
    <w:basedOn w:val="39"/>
    <w:link w:val="64"/>
    <w:autoRedefine/>
    <w:qFormat/>
    <w:uiPriority w:val="0"/>
    <w:rPr>
      <w:rFonts w:ascii="Times New Roman" w:hAnsi="Times New Roman" w:eastAsia="宋体" w:cs="黑体"/>
      <w:sz w:val="28"/>
    </w:rPr>
  </w:style>
  <w:style w:type="character" w:customStyle="1" w:styleId="66">
    <w:name w:val="脚注文本 Char"/>
    <w:basedOn w:val="39"/>
    <w:link w:val="25"/>
    <w:qFormat/>
    <w:uiPriority w:val="0"/>
    <w:rPr>
      <w:rFonts w:ascii="Calibri" w:hAnsi="Calibri" w:eastAsia="宋体" w:cs="黑体"/>
      <w:sz w:val="18"/>
    </w:rPr>
  </w:style>
  <w:style w:type="paragraph" w:customStyle="1" w:styleId="67">
    <w:name w:val="列出段落2"/>
    <w:basedOn w:val="1"/>
    <w:autoRedefine/>
    <w:qFormat/>
    <w:uiPriority w:val="99"/>
    <w:pPr>
      <w:spacing w:line="360" w:lineRule="auto"/>
      <w:ind w:firstLine="420" w:firstLineChars="200"/>
    </w:pPr>
    <w:rPr>
      <w:rFonts w:ascii="Calibri" w:hAnsi="Calibri" w:eastAsia="宋体" w:cs="黑体"/>
    </w:rPr>
  </w:style>
  <w:style w:type="character" w:customStyle="1" w:styleId="68">
    <w:name w:val="headline-content"/>
    <w:basedOn w:val="39"/>
    <w:qFormat/>
    <w:uiPriority w:val="0"/>
  </w:style>
  <w:style w:type="paragraph" w:customStyle="1" w:styleId="69">
    <w:name w:val="证明材料"/>
    <w:basedOn w:val="1"/>
    <w:link w:val="70"/>
    <w:autoRedefine/>
    <w:qFormat/>
    <w:uiPriority w:val="0"/>
    <w:pPr>
      <w:numPr>
        <w:ilvl w:val="0"/>
        <w:numId w:val="1"/>
      </w:numPr>
      <w:spacing w:line="360" w:lineRule="auto"/>
      <w:outlineLvl w:val="1"/>
    </w:pPr>
    <w:rPr>
      <w:rFonts w:ascii="Times New Roman" w:hAnsi="Times New Roman" w:eastAsia="宋体" w:cs="黑体"/>
      <w:b/>
      <w:sz w:val="28"/>
    </w:rPr>
  </w:style>
  <w:style w:type="character" w:customStyle="1" w:styleId="70">
    <w:name w:val="证明材料 Char"/>
    <w:basedOn w:val="39"/>
    <w:link w:val="69"/>
    <w:autoRedefine/>
    <w:qFormat/>
    <w:uiPriority w:val="0"/>
    <w:rPr>
      <w:rFonts w:ascii="Times New Roman" w:hAnsi="Times New Roman" w:eastAsia="宋体" w:cs="黑体"/>
      <w:b/>
      <w:sz w:val="28"/>
    </w:rPr>
  </w:style>
  <w:style w:type="paragraph" w:customStyle="1" w:styleId="71">
    <w:name w:val="font5"/>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2">
    <w:name w:val="font6"/>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3">
    <w:name w:val="xl63"/>
    <w:basedOn w:val="1"/>
    <w:autoRedefine/>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74">
    <w:name w:val="xl64"/>
    <w:basedOn w:val="1"/>
    <w:autoRedefine/>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75">
    <w:name w:val="xl65"/>
    <w:basedOn w:val="1"/>
    <w:autoRedefine/>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76">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7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78">
    <w:name w:val="xl68"/>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9">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0">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8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2">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3">
    <w:name w:val="xl7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4">
    <w:name w:val="xl7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5">
    <w:name w:val="xl7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6">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7">
    <w:name w:val="xl7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8">
    <w:name w:val="xl7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89">
    <w:name w:val="xl7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0">
    <w:name w:val="xl80"/>
    <w:basedOn w:val="1"/>
    <w:autoRedefine/>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b/>
      <w:bCs/>
      <w:kern w:val="0"/>
      <w:sz w:val="28"/>
      <w:szCs w:val="28"/>
    </w:rPr>
  </w:style>
  <w:style w:type="paragraph" w:customStyle="1" w:styleId="91">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2">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3">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94">
    <w:name w:val="xl8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5">
    <w:name w:val="xl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6">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7">
    <w:name w:val="xl8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8">
    <w:name w:val="xl87"/>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9">
    <w:name w:val="xl8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00">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01">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02">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103">
    <w:name w:val="xl9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104">
    <w:name w:val="xl9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105">
    <w:name w:val="xl9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106">
    <w:name w:val="xl9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107">
    <w:name w:val="xl96"/>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8">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9">
    <w:name w:val="xl98"/>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0">
    <w:name w:val="xl99"/>
    <w:basedOn w:val="1"/>
    <w:autoRedefine/>
    <w:qFormat/>
    <w:uiPriority w:val="0"/>
    <w:pPr>
      <w:widowControl/>
      <w:pBdr>
        <w:lef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1">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112">
    <w:name w:val="xl101"/>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13">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rPr>
  </w:style>
  <w:style w:type="paragraph" w:customStyle="1" w:styleId="115">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116">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117">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rPr>
  </w:style>
  <w:style w:type="paragraph" w:customStyle="1" w:styleId="118">
    <w:name w:val="xl107"/>
    <w:basedOn w:val="1"/>
    <w:autoRedefine/>
    <w:qFormat/>
    <w:uiPriority w:val="0"/>
    <w:pPr>
      <w:widowControl/>
      <w:spacing w:before="100" w:beforeAutospacing="1" w:after="100" w:afterAutospacing="1"/>
      <w:jc w:val="center"/>
    </w:pPr>
    <w:rPr>
      <w:rFonts w:ascii="Arial" w:hAnsi="Arial" w:eastAsia="宋体" w:cs="Arial"/>
      <w:color w:val="111111"/>
      <w:kern w:val="0"/>
      <w:sz w:val="24"/>
      <w:szCs w:val="24"/>
    </w:rPr>
  </w:style>
  <w:style w:type="paragraph" w:customStyle="1" w:styleId="119">
    <w:name w:val="xl1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2"/>
    </w:rPr>
  </w:style>
  <w:style w:type="paragraph" w:customStyle="1" w:styleId="120">
    <w:name w:val="Default"/>
    <w:autoRedefine/>
    <w:qFormat/>
    <w:uiPriority w:val="0"/>
    <w:pPr>
      <w:widowControl w:val="0"/>
      <w:autoSpaceDE w:val="0"/>
      <w:autoSpaceDN w:val="0"/>
      <w:adjustRightInd w:val="0"/>
    </w:pPr>
    <w:rPr>
      <w:rFonts w:ascii="方正小标宋简体" w:eastAsia="方正小标宋简体" w:cs="方正小标宋简体" w:hAnsiTheme="minorHAnsi"/>
      <w:color w:val="000000"/>
      <w:kern w:val="0"/>
      <w:sz w:val="24"/>
      <w:szCs w:val="24"/>
      <w:lang w:val="en-US" w:eastAsia="zh-CN" w:bidi="ar-SA"/>
    </w:rPr>
  </w:style>
  <w:style w:type="character" w:customStyle="1" w:styleId="121">
    <w:name w:val="纯文本 Char"/>
    <w:basedOn w:val="39"/>
    <w:link w:val="17"/>
    <w:autoRedefine/>
    <w:qFormat/>
    <w:uiPriority w:val="0"/>
    <w:rPr>
      <w:rFonts w:ascii="宋体" w:hAnsi="Calibri" w:eastAsia="宋体" w:cs="黑体"/>
      <w:szCs w:val="20"/>
    </w:rPr>
  </w:style>
  <w:style w:type="paragraph" w:customStyle="1" w:styleId="122">
    <w:name w:val="cucd-TB"/>
    <w:autoRedefine/>
    <w:qFormat/>
    <w:uiPriority w:val="0"/>
    <w:pPr>
      <w:spacing w:line="360" w:lineRule="auto"/>
      <w:jc w:val="center"/>
    </w:pPr>
    <w:rPr>
      <w:rFonts w:ascii="Times New Roman" w:hAnsi="Times New Roman" w:eastAsiaTheme="minorEastAsia" w:cstheme="minorBidi"/>
      <w:kern w:val="2"/>
      <w:sz w:val="21"/>
      <w:szCs w:val="24"/>
      <w:lang w:val="en-US" w:eastAsia="zh-CN" w:bidi="ar-SA"/>
    </w:rPr>
  </w:style>
  <w:style w:type="character" w:customStyle="1" w:styleId="123">
    <w:name w:val="默认段落字体 Para Char Char Char Char Char"/>
    <w:link w:val="124"/>
    <w:autoRedefine/>
    <w:qFormat/>
    <w:locked/>
    <w:uiPriority w:val="0"/>
    <w:rPr>
      <w:szCs w:val="24"/>
    </w:rPr>
  </w:style>
  <w:style w:type="paragraph" w:customStyle="1" w:styleId="124">
    <w:name w:val="默认段落字体 Para Char Char Char Char"/>
    <w:basedOn w:val="1"/>
    <w:link w:val="123"/>
    <w:autoRedefine/>
    <w:qFormat/>
    <w:uiPriority w:val="0"/>
    <w:rPr>
      <w:szCs w:val="24"/>
    </w:rPr>
  </w:style>
  <w:style w:type="paragraph" w:customStyle="1" w:styleId="125">
    <w:name w:val="表格"/>
    <w:basedOn w:val="126"/>
    <w:autoRedefine/>
    <w:qFormat/>
    <w:uiPriority w:val="0"/>
    <w:rPr>
      <w:b w:val="0"/>
      <w:szCs w:val="21"/>
    </w:rPr>
  </w:style>
  <w:style w:type="paragraph" w:customStyle="1" w:styleId="126">
    <w:name w:val="表头"/>
    <w:basedOn w:val="1"/>
    <w:autoRedefine/>
    <w:qFormat/>
    <w:uiPriority w:val="0"/>
    <w:pPr>
      <w:jc w:val="center"/>
    </w:pPr>
    <w:rPr>
      <w:rFonts w:ascii="Calibri" w:hAnsi="Calibri" w:eastAsia="宋体" w:cs="黑体"/>
      <w:b/>
      <w:szCs w:val="20"/>
    </w:rPr>
  </w:style>
  <w:style w:type="paragraph" w:customStyle="1" w:styleId="127">
    <w:name w:val="_Style 6"/>
    <w:basedOn w:val="1"/>
    <w:autoRedefine/>
    <w:qFormat/>
    <w:uiPriority w:val="1"/>
    <w:pPr>
      <w:spacing w:line="120" w:lineRule="auto"/>
      <w:jc w:val="center"/>
    </w:pPr>
    <w:rPr>
      <w:rFonts w:ascii="Calibri" w:hAnsi="Calibri" w:eastAsia="宋体" w:cs="黑体"/>
    </w:rPr>
  </w:style>
  <w:style w:type="paragraph" w:customStyle="1" w:styleId="128">
    <w:name w:val="表头1"/>
    <w:basedOn w:val="129"/>
    <w:autoRedefine/>
    <w:qFormat/>
    <w:uiPriority w:val="0"/>
    <w:pPr>
      <w:spacing w:line="360" w:lineRule="auto"/>
    </w:pPr>
  </w:style>
  <w:style w:type="paragraph" w:customStyle="1" w:styleId="129">
    <w:name w:val="表格正文"/>
    <w:basedOn w:val="1"/>
    <w:autoRedefine/>
    <w:qFormat/>
    <w:uiPriority w:val="0"/>
    <w:pPr>
      <w:jc w:val="center"/>
    </w:pPr>
    <w:rPr>
      <w:rFonts w:ascii="Calibri" w:hAnsi="Calibri" w:eastAsia="楷体" w:cs="Arial"/>
      <w:bCs/>
      <w:color w:val="FF0000"/>
      <w:kern w:val="0"/>
      <w:sz w:val="24"/>
    </w:rPr>
  </w:style>
  <w:style w:type="paragraph" w:customStyle="1" w:styleId="130">
    <w:name w:val="TOC 标题1"/>
    <w:basedOn w:val="3"/>
    <w:next w:val="1"/>
    <w:autoRedefine/>
    <w:qFormat/>
    <w:uiPriority w:val="39"/>
    <w:pPr>
      <w:keepNext/>
      <w:keepLines/>
      <w:spacing w:before="0" w:beforeAutospacing="0" w:after="0" w:afterAutospacing="0" w:line="276" w:lineRule="auto"/>
      <w:outlineLvl w:val="9"/>
    </w:pPr>
    <w:rPr>
      <w:rFonts w:ascii="Cambria" w:hAnsi="Cambria" w:cs="Times New Roman"/>
      <w:bCs w:val="0"/>
      <w:color w:val="365F91"/>
      <w:kern w:val="0"/>
      <w:sz w:val="28"/>
      <w:szCs w:val="28"/>
    </w:rPr>
  </w:style>
  <w:style w:type="character" w:customStyle="1" w:styleId="131">
    <w:name w:val="font21"/>
    <w:basedOn w:val="39"/>
    <w:autoRedefine/>
    <w:qFormat/>
    <w:uiPriority w:val="0"/>
    <w:rPr>
      <w:rFonts w:ascii="仿宋_GB2312" w:eastAsia="仿宋_GB2312" w:cs="仿宋_GB2312"/>
      <w:color w:val="000000"/>
      <w:sz w:val="32"/>
      <w:szCs w:val="32"/>
      <w:u w:val="none"/>
    </w:rPr>
  </w:style>
  <w:style w:type="character" w:customStyle="1" w:styleId="132">
    <w:name w:val="font01"/>
    <w:basedOn w:val="39"/>
    <w:autoRedefine/>
    <w:qFormat/>
    <w:uiPriority w:val="0"/>
    <w:rPr>
      <w:rFonts w:hint="default" w:ascii="Times New Roman" w:hAnsi="Times New Roman" w:cs="Times New Roman"/>
      <w:color w:val="000000"/>
      <w:sz w:val="24"/>
      <w:szCs w:val="24"/>
      <w:u w:val="none"/>
    </w:rPr>
  </w:style>
  <w:style w:type="character" w:customStyle="1" w:styleId="133">
    <w:name w:val="font71"/>
    <w:basedOn w:val="39"/>
    <w:autoRedefine/>
    <w:qFormat/>
    <w:uiPriority w:val="0"/>
    <w:rPr>
      <w:rFonts w:hint="eastAsia" w:ascii="宋体" w:hAnsi="宋体" w:eastAsia="宋体" w:cs="宋体"/>
      <w:b/>
      <w:color w:val="000000"/>
      <w:sz w:val="24"/>
      <w:szCs w:val="24"/>
      <w:u w:val="none"/>
    </w:rPr>
  </w:style>
  <w:style w:type="character" w:customStyle="1" w:styleId="134">
    <w:name w:val="font61"/>
    <w:basedOn w:val="39"/>
    <w:autoRedefine/>
    <w:qFormat/>
    <w:uiPriority w:val="0"/>
    <w:rPr>
      <w:rFonts w:hint="default" w:ascii="Times New Roman" w:hAnsi="Times New Roman" w:cs="Times New Roman"/>
      <w:b/>
      <w:color w:val="000000"/>
      <w:sz w:val="24"/>
      <w:szCs w:val="24"/>
      <w:u w:val="none"/>
    </w:rPr>
  </w:style>
  <w:style w:type="character" w:customStyle="1" w:styleId="135">
    <w:name w:val="font51"/>
    <w:basedOn w:val="39"/>
    <w:autoRedefine/>
    <w:qFormat/>
    <w:uiPriority w:val="0"/>
    <w:rPr>
      <w:rFonts w:hint="eastAsia" w:ascii="宋体" w:hAnsi="宋体" w:eastAsia="宋体" w:cs="宋体"/>
      <w:color w:val="000000"/>
      <w:sz w:val="24"/>
      <w:szCs w:val="24"/>
      <w:u w:val="none"/>
    </w:rPr>
  </w:style>
  <w:style w:type="paragraph" w:customStyle="1" w:styleId="136">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kern w:val="0"/>
      <w:sz w:val="52"/>
      <w:szCs w:val="22"/>
      <w:lang w:val="en-US" w:eastAsia="zh-CN" w:bidi="ar-SA"/>
    </w:rPr>
  </w:style>
  <w:style w:type="paragraph" w:customStyle="1" w:styleId="137">
    <w:name w:val="K正文首行缩进2字"/>
    <w:basedOn w:val="1"/>
    <w:autoRedefine/>
    <w:qFormat/>
    <w:uiPriority w:val="0"/>
    <w:pPr>
      <w:spacing w:line="440" w:lineRule="exact"/>
    </w:pPr>
    <w:rPr>
      <w:rFonts w:ascii="Arial" w:hAnsi="Arial" w:eastAsia="宋体" w:cs="黑体"/>
      <w:b/>
      <w:sz w:val="28"/>
      <w:szCs w:val="28"/>
    </w:rPr>
  </w:style>
  <w:style w:type="character" w:customStyle="1" w:styleId="138">
    <w:name w:val="font91"/>
    <w:basedOn w:val="39"/>
    <w:autoRedefine/>
    <w:qFormat/>
    <w:uiPriority w:val="0"/>
    <w:rPr>
      <w:rFonts w:hint="eastAsia" w:ascii="宋体" w:hAnsi="宋体" w:eastAsia="宋体" w:cs="宋体"/>
      <w:b/>
      <w:color w:val="000000"/>
      <w:sz w:val="40"/>
      <w:szCs w:val="40"/>
      <w:u w:val="none"/>
    </w:rPr>
  </w:style>
  <w:style w:type="character" w:customStyle="1" w:styleId="139">
    <w:name w:val="font111"/>
    <w:basedOn w:val="39"/>
    <w:autoRedefine/>
    <w:qFormat/>
    <w:uiPriority w:val="0"/>
    <w:rPr>
      <w:rFonts w:hint="eastAsia" w:ascii="宋体" w:hAnsi="宋体" w:eastAsia="宋体" w:cs="宋体"/>
      <w:color w:val="000000"/>
      <w:sz w:val="20"/>
      <w:szCs w:val="20"/>
      <w:u w:val="none"/>
    </w:rPr>
  </w:style>
  <w:style w:type="character" w:customStyle="1" w:styleId="140">
    <w:name w:val="font12"/>
    <w:basedOn w:val="39"/>
    <w:autoRedefine/>
    <w:qFormat/>
    <w:uiPriority w:val="0"/>
    <w:rPr>
      <w:rFonts w:hint="eastAsia" w:ascii="宋体" w:hAnsi="宋体" w:eastAsia="宋体" w:cs="宋体"/>
      <w:color w:val="000000"/>
      <w:sz w:val="18"/>
      <w:szCs w:val="18"/>
      <w:u w:val="none"/>
    </w:rPr>
  </w:style>
  <w:style w:type="character" w:customStyle="1" w:styleId="141">
    <w:name w:val="font122"/>
    <w:basedOn w:val="39"/>
    <w:autoRedefine/>
    <w:qFormat/>
    <w:uiPriority w:val="0"/>
    <w:rPr>
      <w:rFonts w:hint="eastAsia" w:ascii="宋体" w:hAnsi="宋体" w:eastAsia="宋体" w:cs="宋体"/>
      <w:color w:val="000000"/>
      <w:sz w:val="16"/>
      <w:szCs w:val="16"/>
      <w:u w:val="none"/>
    </w:rPr>
  </w:style>
  <w:style w:type="character" w:customStyle="1" w:styleId="142">
    <w:name w:val="font181"/>
    <w:basedOn w:val="39"/>
    <w:autoRedefine/>
    <w:qFormat/>
    <w:uiPriority w:val="0"/>
    <w:rPr>
      <w:rFonts w:hint="default" w:ascii="Arial" w:hAnsi="Arial" w:cs="Arial"/>
      <w:color w:val="000000"/>
      <w:sz w:val="16"/>
      <w:szCs w:val="16"/>
      <w:u w:val="none"/>
    </w:rPr>
  </w:style>
  <w:style w:type="character" w:customStyle="1" w:styleId="143">
    <w:name w:val="font161"/>
    <w:basedOn w:val="39"/>
    <w:autoRedefine/>
    <w:qFormat/>
    <w:uiPriority w:val="0"/>
    <w:rPr>
      <w:rFonts w:hint="eastAsia" w:ascii="宋体" w:hAnsi="宋体" w:eastAsia="宋体" w:cs="宋体"/>
      <w:color w:val="000000"/>
      <w:sz w:val="16"/>
      <w:szCs w:val="16"/>
      <w:u w:val="none"/>
    </w:rPr>
  </w:style>
  <w:style w:type="character" w:customStyle="1" w:styleId="144">
    <w:name w:val="font141"/>
    <w:basedOn w:val="39"/>
    <w:autoRedefine/>
    <w:qFormat/>
    <w:uiPriority w:val="0"/>
    <w:rPr>
      <w:rFonts w:hint="default" w:ascii="Arial" w:hAnsi="Arial" w:cs="Arial"/>
      <w:color w:val="000000"/>
      <w:sz w:val="16"/>
      <w:szCs w:val="16"/>
      <w:u w:val="none"/>
    </w:rPr>
  </w:style>
  <w:style w:type="character" w:customStyle="1" w:styleId="145">
    <w:name w:val="font131"/>
    <w:basedOn w:val="39"/>
    <w:autoRedefine/>
    <w:qFormat/>
    <w:uiPriority w:val="0"/>
    <w:rPr>
      <w:rFonts w:hint="eastAsia" w:ascii="宋体" w:hAnsi="宋体" w:eastAsia="宋体" w:cs="宋体"/>
      <w:color w:val="000000"/>
      <w:sz w:val="20"/>
      <w:szCs w:val="20"/>
      <w:u w:val="none"/>
    </w:rPr>
  </w:style>
  <w:style w:type="character" w:customStyle="1" w:styleId="146">
    <w:name w:val="font151"/>
    <w:basedOn w:val="39"/>
    <w:autoRedefine/>
    <w:qFormat/>
    <w:uiPriority w:val="0"/>
    <w:rPr>
      <w:rFonts w:hint="default" w:ascii="Arial" w:hAnsi="Arial" w:cs="Arial"/>
      <w:color w:val="000000"/>
      <w:sz w:val="20"/>
      <w:szCs w:val="20"/>
      <w:u w:val="none"/>
    </w:rPr>
  </w:style>
  <w:style w:type="paragraph" w:customStyle="1" w:styleId="147">
    <w:name w:val="段"/>
    <w:autoRedefine/>
    <w:qFormat/>
    <w:uiPriority w:val="0"/>
    <w:pPr>
      <w:autoSpaceDE w:val="0"/>
      <w:autoSpaceDN w:val="0"/>
      <w:ind w:firstLine="200" w:firstLineChars="200"/>
      <w:jc w:val="both"/>
    </w:pPr>
    <w:rPr>
      <w:rFonts w:ascii="宋体" w:hAnsi="Times New Roman" w:eastAsia="宋体" w:cs="Times New Roman"/>
      <w:kern w:val="0"/>
      <w:sz w:val="21"/>
      <w:szCs w:val="22"/>
      <w:lang w:val="en-US" w:eastAsia="zh-CN" w:bidi="ar-SA"/>
    </w:rPr>
  </w:style>
  <w:style w:type="character" w:customStyle="1" w:styleId="148">
    <w:name w:val="sy21"/>
    <w:basedOn w:val="39"/>
    <w:autoRedefine/>
    <w:qFormat/>
    <w:uiPriority w:val="0"/>
    <w:rPr>
      <w:color w:val="454545"/>
    </w:rPr>
  </w:style>
  <w:style w:type="paragraph" w:customStyle="1" w:styleId="149">
    <w:name w:val="列出段落1"/>
    <w:basedOn w:val="1"/>
    <w:autoRedefine/>
    <w:qFormat/>
    <w:uiPriority w:val="34"/>
    <w:pPr>
      <w:ind w:firstLine="420" w:firstLineChars="200"/>
    </w:pPr>
    <w:rPr>
      <w:rFonts w:ascii="Calibri" w:hAnsi="Calibri" w:eastAsia="宋体" w:cs="黑体"/>
    </w:rPr>
  </w:style>
  <w:style w:type="character" w:customStyle="1" w:styleId="150">
    <w:name w:val="正文文本缩进 Char"/>
    <w:basedOn w:val="39"/>
    <w:link w:val="14"/>
    <w:autoRedefine/>
    <w:qFormat/>
    <w:uiPriority w:val="0"/>
    <w:rPr>
      <w:rFonts w:ascii="Calibri" w:hAnsi="Calibri" w:eastAsia="宋体" w:cs="黑体"/>
    </w:rPr>
  </w:style>
  <w:style w:type="character" w:customStyle="1" w:styleId="151">
    <w:name w:val="正文文本缩进 3 Char"/>
    <w:basedOn w:val="39"/>
    <w:link w:val="27"/>
    <w:autoRedefine/>
    <w:qFormat/>
    <w:uiPriority w:val="0"/>
    <w:rPr>
      <w:rFonts w:ascii="Calibri" w:hAnsi="Calibri" w:eastAsia="宋体" w:cs="黑体"/>
      <w:sz w:val="16"/>
      <w:szCs w:val="16"/>
    </w:rPr>
  </w:style>
  <w:style w:type="character" w:customStyle="1" w:styleId="152">
    <w:name w:val="日期 Char"/>
    <w:basedOn w:val="39"/>
    <w:link w:val="19"/>
    <w:autoRedefine/>
    <w:qFormat/>
    <w:uiPriority w:val="0"/>
    <w:rPr>
      <w:rFonts w:ascii="Calibri" w:hAnsi="Calibri" w:eastAsia="宋体" w:cs="黑体"/>
    </w:rPr>
  </w:style>
  <w:style w:type="paragraph" w:customStyle="1" w:styleId="153">
    <w:name w:val="0正文"/>
    <w:basedOn w:val="35"/>
    <w:autoRedefine/>
    <w:qFormat/>
    <w:uiPriority w:val="0"/>
  </w:style>
  <w:style w:type="character" w:customStyle="1" w:styleId="154">
    <w:name w:val="正文文本 Char"/>
    <w:basedOn w:val="39"/>
    <w:link w:val="2"/>
    <w:autoRedefine/>
    <w:qFormat/>
    <w:uiPriority w:val="0"/>
    <w:rPr>
      <w:rFonts w:ascii="Calibri" w:hAnsi="Calibri" w:eastAsia="宋体" w:cs="黑体"/>
    </w:rPr>
  </w:style>
  <w:style w:type="character" w:customStyle="1" w:styleId="155">
    <w:name w:val="正文首行缩进 Char"/>
    <w:basedOn w:val="154"/>
    <w:link w:val="35"/>
    <w:autoRedefine/>
    <w:qFormat/>
    <w:uiPriority w:val="0"/>
    <w:rPr>
      <w:rFonts w:ascii="Calibri" w:hAnsi="Calibri" w:eastAsia="宋体" w:cs="黑体"/>
    </w:rPr>
  </w:style>
  <w:style w:type="paragraph" w:customStyle="1" w:styleId="156">
    <w:name w:val="CM14"/>
    <w:basedOn w:val="120"/>
    <w:next w:val="120"/>
    <w:autoRedefine/>
    <w:unhideWhenUsed/>
    <w:qFormat/>
    <w:uiPriority w:val="99"/>
    <w:pPr>
      <w:spacing w:line="626" w:lineRule="atLeast"/>
    </w:pPr>
    <w:rPr>
      <w:rFonts w:hint="eastAsia" w:ascii="黑体" w:hAnsi="黑体" w:eastAsia="黑体" w:cs="Times New Roman"/>
      <w:szCs w:val="20"/>
    </w:rPr>
  </w:style>
  <w:style w:type="table" w:customStyle="1" w:styleId="157">
    <w:name w:val="网格型1"/>
    <w:basedOn w:val="37"/>
    <w:autoRedefine/>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8">
    <w:name w:val="普通(网站)1"/>
    <w:basedOn w:val="1"/>
    <w:autoRedefine/>
    <w:qFormat/>
    <w:uiPriority w:val="0"/>
    <w:pPr>
      <w:spacing w:before="100" w:beforeAutospacing="1" w:after="100" w:afterAutospacing="1"/>
      <w:jc w:val="left"/>
    </w:pPr>
    <w:rPr>
      <w:rFonts w:ascii="Calibri" w:hAnsi="Calibri" w:eastAsia="宋体" w:cs="Times New Roman"/>
      <w:kern w:val="0"/>
      <w:sz w:val="24"/>
    </w:rPr>
  </w:style>
  <w:style w:type="character" w:customStyle="1" w:styleId="159">
    <w:name w:val="qb-content"/>
    <w:basedOn w:val="39"/>
    <w:autoRedefine/>
    <w:qFormat/>
    <w:uiPriority w:val="0"/>
  </w:style>
  <w:style w:type="character" w:customStyle="1" w:styleId="160">
    <w:name w:val="正文文本 2 Char"/>
    <w:basedOn w:val="39"/>
    <w:link w:val="30"/>
    <w:autoRedefine/>
    <w:semiHidden/>
    <w:qFormat/>
    <w:uiPriority w:val="99"/>
    <w:rPr>
      <w:rFonts w:ascii="Times New Roman" w:hAnsi="Times New Roman" w:eastAsia="仿宋_GB2312" w:cs="黑体"/>
      <w:sz w:val="30"/>
    </w:rPr>
  </w:style>
  <w:style w:type="paragraph" w:customStyle="1" w:styleId="161">
    <w:name w:val="正文2"/>
    <w:basedOn w:val="1"/>
    <w:autoRedefine/>
    <w:qFormat/>
    <w:uiPriority w:val="0"/>
    <w:pPr>
      <w:autoSpaceDE w:val="0"/>
      <w:autoSpaceDN w:val="0"/>
      <w:adjustRightInd w:val="0"/>
      <w:spacing w:afterLines="50" w:line="440" w:lineRule="exact"/>
      <w:jc w:val="left"/>
    </w:pPr>
    <w:rPr>
      <w:rFonts w:ascii="Times New Roman" w:hAnsi="Times New Roman" w:eastAsia="宋体" w:cs="Times New Roman"/>
      <w:color w:val="000000" w:themeColor="text1"/>
      <w:kern w:val="0"/>
      <w:sz w:val="24"/>
      <w:szCs w:val="24"/>
      <w14:textFill>
        <w14:solidFill>
          <w14:schemeClr w14:val="tx1"/>
        </w14:solidFill>
      </w14:textFill>
    </w:rPr>
  </w:style>
  <w:style w:type="character" w:customStyle="1" w:styleId="162">
    <w:name w:val="文档结构图 Char"/>
    <w:basedOn w:val="39"/>
    <w:link w:val="12"/>
    <w:autoRedefine/>
    <w:qFormat/>
    <w:uiPriority w:val="99"/>
    <w:rPr>
      <w:rFonts w:ascii="宋体" w:eastAsia="宋体"/>
      <w:sz w:val="18"/>
      <w:szCs w:val="18"/>
    </w:rPr>
  </w:style>
  <w:style w:type="character" w:customStyle="1" w:styleId="163">
    <w:name w:val="nameboxcolor"/>
    <w:basedOn w:val="39"/>
    <w:autoRedefine/>
    <w:qFormat/>
    <w:uiPriority w:val="0"/>
  </w:style>
  <w:style w:type="paragraph" w:customStyle="1" w:styleId="164">
    <w:name w:val="CM10"/>
    <w:basedOn w:val="120"/>
    <w:next w:val="120"/>
    <w:autoRedefine/>
    <w:unhideWhenUsed/>
    <w:qFormat/>
    <w:uiPriority w:val="99"/>
    <w:pPr>
      <w:spacing w:line="628" w:lineRule="atLeast"/>
    </w:pPr>
    <w:rPr>
      <w:rFonts w:hint="eastAsia" w:ascii="黑体" w:hAnsi="黑体" w:eastAsia="黑体" w:cs="Times New Roman"/>
      <w:szCs w:val="20"/>
    </w:rPr>
  </w:style>
  <w:style w:type="table" w:customStyle="1" w:styleId="165">
    <w:name w:val="网格型3"/>
    <w:basedOn w:val="37"/>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6">
    <w:name w:val="font8"/>
    <w:basedOn w:val="1"/>
    <w:autoRedefine/>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67">
    <w:name w:val="font9"/>
    <w:basedOn w:val="1"/>
    <w:autoRedefine/>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68">
    <w:name w:val="font10"/>
    <w:basedOn w:val="1"/>
    <w:autoRedefine/>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69">
    <w:name w:val="font11"/>
    <w:basedOn w:val="1"/>
    <w:autoRedefine/>
    <w:qFormat/>
    <w:uiPriority w:val="0"/>
    <w:pPr>
      <w:widowControl/>
      <w:spacing w:before="100" w:beforeAutospacing="1" w:after="100" w:afterAutospacing="1"/>
      <w:jc w:val="left"/>
    </w:pPr>
    <w:rPr>
      <w:rFonts w:ascii="Courier New" w:hAnsi="Courier New" w:eastAsia="宋体" w:cs="Courier New"/>
      <w:color w:val="000000"/>
      <w:kern w:val="0"/>
      <w:sz w:val="22"/>
    </w:rPr>
  </w:style>
  <w:style w:type="paragraph" w:customStyle="1" w:styleId="170">
    <w:name w:val="CM8"/>
    <w:basedOn w:val="120"/>
    <w:next w:val="120"/>
    <w:autoRedefine/>
    <w:unhideWhenUsed/>
    <w:qFormat/>
    <w:uiPriority w:val="99"/>
    <w:pPr>
      <w:spacing w:line="628" w:lineRule="atLeast"/>
    </w:pPr>
    <w:rPr>
      <w:rFonts w:hint="eastAsia" w:ascii="黑体" w:hAnsi="黑体" w:eastAsia="黑体" w:cs="Times New Roman"/>
      <w:szCs w:val="20"/>
    </w:rPr>
  </w:style>
  <w:style w:type="paragraph" w:customStyle="1" w:styleId="171">
    <w:name w:val="CM2"/>
    <w:basedOn w:val="120"/>
    <w:next w:val="120"/>
    <w:autoRedefine/>
    <w:unhideWhenUsed/>
    <w:qFormat/>
    <w:uiPriority w:val="99"/>
    <w:pPr>
      <w:spacing w:line="631" w:lineRule="atLeast"/>
    </w:pPr>
    <w:rPr>
      <w:rFonts w:hint="eastAsia" w:ascii="黑体" w:hAnsi="黑体" w:eastAsia="黑体" w:cs="Times New Roman"/>
      <w:szCs w:val="20"/>
    </w:rPr>
  </w:style>
  <w:style w:type="paragraph" w:customStyle="1" w:styleId="172">
    <w:name w:val="TOC 标题11"/>
    <w:basedOn w:val="3"/>
    <w:next w:val="1"/>
    <w:autoRedefine/>
    <w:unhideWhenUsed/>
    <w:qFormat/>
    <w:uiPriority w:val="39"/>
    <w:pPr>
      <w:keepNext/>
      <w:keepLines/>
      <w:spacing w:before="0" w:beforeAutospacing="0" w:after="0" w:afterAutospacing="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173">
    <w:name w:val="Char Char Char Char Char Char Char"/>
    <w:basedOn w:val="1"/>
    <w:autoRedefine/>
    <w:qFormat/>
    <w:uiPriority w:val="0"/>
    <w:rPr>
      <w:rFonts w:ascii="Times New Roman" w:hAnsi="Times New Roman" w:eastAsia="宋体" w:cs="Times New Roman"/>
      <w:szCs w:val="24"/>
    </w:rPr>
  </w:style>
  <w:style w:type="paragraph" w:customStyle="1" w:styleId="174">
    <w:name w:val="Char Char Char Char Char Char Char1"/>
    <w:basedOn w:val="1"/>
    <w:autoRedefine/>
    <w:qFormat/>
    <w:uiPriority w:val="0"/>
    <w:rPr>
      <w:rFonts w:ascii="Times New Roman" w:hAnsi="Times New Roman" w:eastAsia="宋体" w:cs="Times New Roman"/>
      <w:szCs w:val="24"/>
    </w:rPr>
  </w:style>
  <w:style w:type="character" w:customStyle="1" w:styleId="175">
    <w:name w:val="font31"/>
    <w:basedOn w:val="39"/>
    <w:autoRedefine/>
    <w:qFormat/>
    <w:uiPriority w:val="0"/>
    <w:rPr>
      <w:rFonts w:hint="eastAsia" w:ascii="宋体" w:hAnsi="宋体" w:eastAsia="宋体" w:cs="宋体"/>
      <w:b/>
      <w:color w:val="000000"/>
      <w:sz w:val="20"/>
      <w:szCs w:val="20"/>
      <w:u w:val="none"/>
    </w:rPr>
  </w:style>
  <w:style w:type="character" w:customStyle="1" w:styleId="176">
    <w:name w:val="font41"/>
    <w:basedOn w:val="39"/>
    <w:autoRedefine/>
    <w:qFormat/>
    <w:uiPriority w:val="0"/>
    <w:rPr>
      <w:rFonts w:hint="eastAsia" w:ascii="仿宋_GB2312" w:eastAsia="仿宋_GB2312" w:cs="仿宋_GB2312"/>
      <w:color w:val="000000"/>
      <w:sz w:val="18"/>
      <w:szCs w:val="18"/>
      <w:u w:val="none"/>
    </w:rPr>
  </w:style>
  <w:style w:type="character" w:customStyle="1" w:styleId="177">
    <w:name w:val="font101"/>
    <w:basedOn w:val="39"/>
    <w:autoRedefine/>
    <w:qFormat/>
    <w:uiPriority w:val="0"/>
    <w:rPr>
      <w:rFonts w:hint="eastAsia" w:ascii="宋体" w:hAnsi="宋体" w:eastAsia="宋体" w:cs="宋体"/>
      <w:color w:val="FF0000"/>
      <w:sz w:val="22"/>
      <w:szCs w:val="22"/>
      <w:u w:val="none"/>
    </w:rPr>
  </w:style>
  <w:style w:type="character" w:customStyle="1" w:styleId="178">
    <w:name w:val="font112"/>
    <w:basedOn w:val="39"/>
    <w:autoRedefine/>
    <w:qFormat/>
    <w:uiPriority w:val="0"/>
    <w:rPr>
      <w:rFonts w:hint="eastAsia" w:ascii="宋体" w:hAnsi="宋体" w:eastAsia="宋体" w:cs="宋体"/>
      <w:color w:val="000000"/>
      <w:sz w:val="22"/>
      <w:szCs w:val="22"/>
      <w:u w:val="none"/>
    </w:rPr>
  </w:style>
  <w:style w:type="character" w:customStyle="1" w:styleId="179">
    <w:name w:val="font81"/>
    <w:basedOn w:val="39"/>
    <w:autoRedefine/>
    <w:qFormat/>
    <w:uiPriority w:val="0"/>
    <w:rPr>
      <w:rFonts w:hint="eastAsia" w:ascii="宋体" w:hAnsi="宋体" w:eastAsia="宋体" w:cs="宋体"/>
      <w:color w:val="000000"/>
      <w:sz w:val="20"/>
      <w:szCs w:val="20"/>
      <w:u w:val="none"/>
    </w:rPr>
  </w:style>
  <w:style w:type="character" w:customStyle="1" w:styleId="180">
    <w:name w:val="font201"/>
    <w:basedOn w:val="39"/>
    <w:autoRedefine/>
    <w:qFormat/>
    <w:uiPriority w:val="0"/>
    <w:rPr>
      <w:rFonts w:hint="eastAsia" w:ascii="宋体" w:hAnsi="宋体" w:eastAsia="宋体" w:cs="宋体"/>
      <w:b/>
      <w:color w:val="000000"/>
      <w:sz w:val="22"/>
      <w:szCs w:val="22"/>
      <w:u w:val="none"/>
    </w:rPr>
  </w:style>
  <w:style w:type="paragraph" w:customStyle="1" w:styleId="181">
    <w:name w:val="Char"/>
    <w:basedOn w:val="1"/>
    <w:autoRedefine/>
    <w:qFormat/>
    <w:uiPriority w:val="0"/>
    <w:rPr>
      <w:rFonts w:ascii="Times New Roman" w:hAnsi="Times New Roman" w:eastAsia="宋体" w:cs="Times New Roman"/>
      <w:szCs w:val="24"/>
    </w:rPr>
  </w:style>
  <w:style w:type="paragraph" w:customStyle="1" w:styleId="182">
    <w:name w:val="xl10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183">
    <w:name w:val="xl110"/>
    <w:basedOn w:val="1"/>
    <w:autoRedefine/>
    <w:qFormat/>
    <w:uiPriority w:val="0"/>
    <w:pPr>
      <w:widowControl/>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184">
    <w:name w:val="xl11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20"/>
      <w:szCs w:val="20"/>
    </w:rPr>
  </w:style>
  <w:style w:type="paragraph" w:customStyle="1" w:styleId="185">
    <w:name w:val="xl112"/>
    <w:basedOn w:val="1"/>
    <w:autoRedefine/>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86">
    <w:name w:val="xl113"/>
    <w:basedOn w:val="1"/>
    <w:autoRedefine/>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87">
    <w:name w:val="xl114"/>
    <w:basedOn w:val="1"/>
    <w:autoRedefine/>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eastAsia="宋体" w:cs="宋体"/>
      <w:kern w:val="0"/>
      <w:sz w:val="20"/>
      <w:szCs w:val="20"/>
    </w:rPr>
  </w:style>
  <w:style w:type="paragraph" w:customStyle="1" w:styleId="188">
    <w:name w:val="xl1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189">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90">
    <w:name w:val="xl11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91">
    <w:name w:val="xl118"/>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92">
    <w:name w:val="xl11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93">
    <w:name w:val="xl12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94">
    <w:name w:val="xl12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95">
    <w:name w:val="xl122"/>
    <w:basedOn w:val="1"/>
    <w:autoRedefine/>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96">
    <w:name w:val="xl123"/>
    <w:basedOn w:val="1"/>
    <w:autoRedefine/>
    <w:qFormat/>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97">
    <w:name w:val="xl124"/>
    <w:basedOn w:val="1"/>
    <w:autoRedefine/>
    <w:qFormat/>
    <w:uiPriority w:val="0"/>
    <w:pPr>
      <w:widowControl/>
      <w:spacing w:before="100" w:beforeAutospacing="1" w:after="100" w:afterAutospacing="1"/>
      <w:jc w:val="right"/>
    </w:pPr>
    <w:rPr>
      <w:rFonts w:ascii="宋体" w:hAnsi="宋体" w:eastAsia="宋体" w:cs="宋体"/>
      <w:kern w:val="0"/>
      <w:sz w:val="20"/>
      <w:szCs w:val="20"/>
    </w:rPr>
  </w:style>
  <w:style w:type="paragraph" w:customStyle="1" w:styleId="198">
    <w:name w:val="xl125"/>
    <w:basedOn w:val="1"/>
    <w:autoRedefine/>
    <w:qFormat/>
    <w:uiPriority w:val="0"/>
    <w:pPr>
      <w:widowControl/>
      <w:spacing w:before="100" w:beforeAutospacing="1" w:after="100" w:afterAutospacing="1"/>
      <w:jc w:val="center"/>
    </w:pPr>
    <w:rPr>
      <w:rFonts w:ascii="宋体" w:hAnsi="宋体" w:eastAsia="宋体" w:cs="宋体"/>
      <w:b/>
      <w:bCs/>
      <w:kern w:val="0"/>
      <w:sz w:val="36"/>
      <w:szCs w:val="36"/>
    </w:rPr>
  </w:style>
  <w:style w:type="paragraph" w:customStyle="1" w:styleId="199">
    <w:name w:val="xl126"/>
    <w:basedOn w:val="1"/>
    <w:autoRedefine/>
    <w:qFormat/>
    <w:uiPriority w:val="0"/>
    <w:pPr>
      <w:widowControl/>
      <w:spacing w:before="100" w:beforeAutospacing="1" w:after="100" w:afterAutospacing="1"/>
      <w:jc w:val="center"/>
    </w:pPr>
    <w:rPr>
      <w:rFonts w:ascii="宋体" w:hAnsi="宋体" w:eastAsia="宋体" w:cs="宋体"/>
      <w:b/>
      <w:bCs/>
      <w:kern w:val="0"/>
      <w:sz w:val="20"/>
      <w:szCs w:val="20"/>
    </w:rPr>
  </w:style>
  <w:style w:type="paragraph" w:customStyle="1" w:styleId="200">
    <w:name w:val="xl127"/>
    <w:basedOn w:val="1"/>
    <w:autoRedefine/>
    <w:qFormat/>
    <w:uiPriority w:val="0"/>
    <w:pPr>
      <w:widowControl/>
      <w:pBdr>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201">
    <w:name w:val="xl12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02">
    <w:name w:val="xl12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03">
    <w:name w:val="xl13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04">
    <w:name w:val="xl13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05">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206">
    <w:name w:val="标题3"/>
    <w:basedOn w:val="33"/>
    <w:link w:val="207"/>
    <w:autoRedefine/>
    <w:qFormat/>
    <w:uiPriority w:val="0"/>
    <w:pPr>
      <w:spacing w:line="240" w:lineRule="auto"/>
      <w:ind w:firstLine="0" w:firstLineChars="0"/>
      <w:jc w:val="both"/>
    </w:pPr>
    <w:rPr>
      <w:rFonts w:ascii="Cambria" w:hAnsi="Cambria" w:cs="Times New Roman"/>
    </w:rPr>
  </w:style>
  <w:style w:type="character" w:customStyle="1" w:styleId="207">
    <w:name w:val="标题3 Char"/>
    <w:basedOn w:val="208"/>
    <w:link w:val="206"/>
    <w:autoRedefine/>
    <w:qFormat/>
    <w:uiPriority w:val="0"/>
    <w:rPr>
      <w:rFonts w:ascii="Cambria" w:hAnsi="Cambria" w:eastAsia="宋体" w:cs="Times New Roman"/>
      <w:sz w:val="32"/>
      <w:szCs w:val="32"/>
    </w:rPr>
  </w:style>
  <w:style w:type="character" w:customStyle="1" w:styleId="208">
    <w:name w:val="标题 Char"/>
    <w:basedOn w:val="39"/>
    <w:link w:val="33"/>
    <w:autoRedefine/>
    <w:qFormat/>
    <w:uiPriority w:val="10"/>
    <w:rPr>
      <w:rFonts w:eastAsia="宋体" w:asciiTheme="majorHAnsi" w:hAnsiTheme="majorHAnsi" w:cstheme="majorBidi"/>
      <w:b/>
      <w:bCs/>
      <w:sz w:val="32"/>
      <w:szCs w:val="32"/>
    </w:rPr>
  </w:style>
  <w:style w:type="paragraph" w:customStyle="1" w:styleId="209">
    <w:name w:val="_Style 2"/>
    <w:basedOn w:val="1"/>
    <w:autoRedefine/>
    <w:qFormat/>
    <w:uiPriority w:val="34"/>
    <w:pPr>
      <w:ind w:firstLine="420" w:firstLineChars="200"/>
    </w:pPr>
    <w:rPr>
      <w:rFonts w:ascii="Calibri" w:hAnsi="Calibri" w:eastAsia="宋体" w:cs="黑体"/>
    </w:rPr>
  </w:style>
  <w:style w:type="character" w:customStyle="1" w:styleId="210">
    <w:name w:val="批注主题 Char"/>
    <w:basedOn w:val="61"/>
    <w:link w:val="34"/>
    <w:autoRedefine/>
    <w:semiHidden/>
    <w:qFormat/>
    <w:uiPriority w:val="99"/>
    <w:rPr>
      <w:rFonts w:ascii="Times New Roman" w:hAnsi="Times New Roman" w:eastAsia="宋体" w:cs="Times New Roman"/>
      <w:b/>
      <w:bCs/>
      <w:color w:val="000000"/>
      <w:sz w:val="24"/>
      <w:szCs w:val="24"/>
    </w:rPr>
  </w:style>
  <w:style w:type="paragraph" w:customStyle="1" w:styleId="211">
    <w:name w:val="附录表标题"/>
    <w:basedOn w:val="1"/>
    <w:next w:val="147"/>
    <w:autoRedefine/>
    <w:qFormat/>
    <w:uiPriority w:val="0"/>
    <w:pPr>
      <w:numPr>
        <w:ilvl w:val="1"/>
        <w:numId w:val="2"/>
      </w:numPr>
      <w:spacing w:before="50" w:beforeLines="50" w:after="50" w:afterLines="50"/>
      <w:jc w:val="center"/>
    </w:pPr>
    <w:rPr>
      <w:rFonts w:ascii="黑体" w:eastAsia="黑体"/>
      <w:szCs w:val="21"/>
    </w:rPr>
  </w:style>
  <w:style w:type="paragraph" w:customStyle="1" w:styleId="212">
    <w:name w:val="WPSOffice手动目录 2"/>
    <w:qFormat/>
    <w:uiPriority w:val="0"/>
    <w:pPr>
      <w:ind w:leftChars="200"/>
    </w:pPr>
    <w:rPr>
      <w:rFonts w:ascii="Times New Roman" w:hAnsi="Times New Roman" w:eastAsia="宋体" w:cs="Times New Roman"/>
      <w:sz w:val="20"/>
      <w:szCs w:val="20"/>
    </w:rPr>
  </w:style>
  <w:style w:type="paragraph" w:customStyle="1" w:styleId="213">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117</Pages>
  <Words>40825</Words>
  <Characters>52123</Characters>
  <Lines>365</Lines>
  <Paragraphs>102</Paragraphs>
  <TotalTime>24</TotalTime>
  <ScaleCrop>false</ScaleCrop>
  <LinksUpToDate>false</LinksUpToDate>
  <CharactersWithSpaces>54336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2019-10-23T18:05:00Z</dcterms:created>
  <dc:creator>邓丰</dc:creator>
  <cp:lastModifiedBy>門 叁</cp:lastModifiedBy>
  <cp:lastPrinted>2020-06-18T17:42:00Z</cp:lastPrinted>
  <dcterms:modified xsi:type="dcterms:W3CDTF">2024-04-03T06:21:17Z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B06F21ED804840EC9B475C664D021A36_13</vt:lpwstr>
  </property>
</Properties>
</file>