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1"/>
        <w:rPr>
          <w:rFonts w:hint="default" w:ascii="Times New Roman" w:hAnsi="Times New Roman" w:eastAsia="黑体" w:cs="Times New Roman"/>
          <w:sz w:val="32"/>
          <w:szCs w:val="32"/>
          <w:highlight w:val="none"/>
          <w:lang w:val="en-US"/>
        </w:rPr>
      </w:pPr>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件4</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outlineLvl w:val="1"/>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绿色工厂</w:t>
      </w:r>
      <w:r>
        <w:rPr>
          <w:rFonts w:hint="eastAsia" w:ascii="Times New Roman" w:hAnsi="Times New Roman" w:eastAsia="黑体" w:cs="Times New Roman"/>
          <w:bCs/>
          <w:sz w:val="52"/>
          <w:szCs w:val="52"/>
          <w:highlight w:val="none"/>
          <w:lang w:eastAsia="zh-CN"/>
        </w:rPr>
        <w:t>第三方</w:t>
      </w:r>
      <w:r>
        <w:rPr>
          <w:rFonts w:hint="default" w:ascii="Times New Roman" w:hAnsi="Times New Roman" w:eastAsia="黑体" w:cs="Times New Roman"/>
          <w:bCs/>
          <w:sz w:val="52"/>
          <w:szCs w:val="52"/>
          <w:highlight w:val="none"/>
        </w:rPr>
        <w:t>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rPr>
          <w:rFonts w:hint="eastAsia"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工  厂  名  称：</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r>
        <w:rPr>
          <w:rFonts w:hint="eastAsia" w:ascii="Times New Roman" w:hAnsi="Times New Roman" w:eastAsia="仿宋" w:cs="Times New Roman"/>
          <w:sz w:val="32"/>
          <w:szCs w:val="32"/>
          <w:highlight w:val="none"/>
          <w:u w:val="single"/>
          <w:lang w:val="en-US" w:eastAsia="zh-CN"/>
        </w:rPr>
        <w:t xml:space="preserve"> </w:t>
      </w:r>
    </w:p>
    <w:p>
      <w:pPr>
        <w:spacing w:line="360" w:lineRule="auto"/>
        <w:ind w:firstLine="1920" w:firstLineChars="600"/>
        <w:rPr>
          <w:rFonts w:hint="default" w:ascii="Times New Roman" w:hAnsi="Times New Roman" w:eastAsia="仿宋" w:cs="Times New Roman"/>
          <w:b/>
          <w:sz w:val="32"/>
          <w:szCs w:val="32"/>
          <w:highlight w:val="none"/>
        </w:rPr>
      </w:pPr>
    </w:p>
    <w:p>
      <w:pPr>
        <w:spacing w:line="360" w:lineRule="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第三方机构名称：</w:t>
      </w:r>
      <w:r>
        <w:rPr>
          <w:rFonts w:hint="default" w:ascii="Times New Roman" w:hAnsi="Times New Roman" w:eastAsia="仿宋" w:cs="Times New Roman"/>
          <w:sz w:val="32"/>
          <w:szCs w:val="32"/>
          <w:highlight w:val="none"/>
          <w:u w:val="single"/>
        </w:rPr>
        <w:t xml:space="preserve">                        </w:t>
      </w:r>
      <w:r>
        <w:rPr>
          <w:rFonts w:hint="eastAsia" w:ascii="Times New Roman" w:hAnsi="Times New Roman" w:eastAsia="仿宋" w:cs="Times New Roman"/>
          <w:sz w:val="32"/>
          <w:szCs w:val="32"/>
          <w:highlight w:val="none"/>
          <w:u w:val="single"/>
          <w:lang w:val="en-US" w:eastAsia="zh-CN"/>
        </w:rPr>
        <w:t xml:space="preserve">   </w:t>
      </w:r>
    </w:p>
    <w:p>
      <w:pPr>
        <w:rPr>
          <w:rFonts w:hint="default" w:ascii="Times New Roman" w:hAnsi="Times New Roman" w:eastAsia="仿宋"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r>
        <w:rPr>
          <w:rFonts w:hint="default" w:ascii="Times New Roman" w:hAnsi="Times New Roman" w:eastAsia="方正仿宋简体" w:cs="Times New Roman"/>
          <w:sz w:val="32"/>
          <w:highlight w:val="none"/>
        </w:rPr>
        <w:t xml:space="preserve">   </w:t>
      </w:r>
    </w:p>
    <w:p>
      <w:pPr>
        <w:ind w:firstLine="420" w:firstLineChars="150"/>
        <w:rPr>
          <w:rFonts w:hint="default" w:ascii="Times New Roman" w:hAnsi="Times New Roman" w:eastAsia="方正仿宋简体" w:cs="Times New Roman"/>
          <w:sz w:val="28"/>
          <w:highlight w:val="none"/>
        </w:rPr>
      </w:pPr>
    </w:p>
    <w:p>
      <w:pPr>
        <w:spacing w:line="360" w:lineRule="auto"/>
        <w:jc w:val="center"/>
        <w:rPr>
          <w:rFonts w:hint="default" w:ascii="Times New Roman" w:hAnsi="Times New Roman" w:eastAsia="仿宋" w:cs="Times New Roman"/>
          <w:sz w:val="30"/>
          <w:highlight w:val="none"/>
        </w:rPr>
      </w:pPr>
      <w:r>
        <w:rPr>
          <w:rFonts w:hint="default" w:ascii="Times New Roman" w:hAnsi="Times New Roman" w:eastAsia="仿宋" w:cs="Times New Roman"/>
          <w:sz w:val="30"/>
          <w:highlight w:val="none"/>
        </w:rPr>
        <w:t>工业和信息化部制</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 w:cs="Times New Roman"/>
          <w:sz w:val="30"/>
          <w:highlight w:val="none"/>
        </w:rPr>
        <w:t>20  年    月    日</w:t>
      </w:r>
    </w:p>
    <w:p>
      <w:pPr>
        <w:spacing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6"/>
          <w:szCs w:val="36"/>
          <w:highlight w:val="none"/>
        </w:rPr>
        <w:br w:type="page"/>
      </w:r>
      <w:r>
        <w:rPr>
          <w:rFonts w:hint="default" w:ascii="Times New Roman" w:hAnsi="Times New Roman" w:eastAsia="黑体" w:cs="Times New Roman"/>
          <w:bCs/>
          <w:sz w:val="32"/>
          <w:szCs w:val="32"/>
          <w:highlight w:val="none"/>
        </w:rPr>
        <w:t>基本信息表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2207"/>
        <w:gridCol w:w="114"/>
        <w:gridCol w:w="1982"/>
        <w:gridCol w:w="11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rPr>
              <w:t>一、工厂基本信息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工厂名称</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工厂地址</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eastAsia="zh-CN"/>
              </w:rPr>
              <w:t>所属行业</w:t>
            </w:r>
          </w:p>
        </w:tc>
        <w:tc>
          <w:tcPr>
            <w:tcW w:w="2321" w:type="dxa"/>
            <w:gridSpan w:val="2"/>
            <w:vAlign w:val="center"/>
          </w:tcPr>
          <w:p>
            <w:pPr>
              <w:widowControl/>
              <w:jc w:val="center"/>
              <w:rPr>
                <w:rFonts w:hint="eastAsia" w:ascii="Times New Roman" w:hAnsi="Times New Roman" w:eastAsia="仿宋" w:cs="Times New Roman"/>
                <w:color w:val="000000"/>
                <w:kern w:val="0"/>
                <w:sz w:val="24"/>
                <w:highlight w:val="none"/>
                <w:lang w:eastAsia="zh-CN"/>
              </w:rPr>
            </w:pPr>
            <w:r>
              <w:rPr>
                <w:rFonts w:hint="eastAsia" w:ascii="Times New Roman" w:hAnsi="Times New Roman" w:eastAsia="仿宋" w:cs="Times New Roman"/>
                <w:color w:val="000000"/>
                <w:kern w:val="0"/>
                <w:sz w:val="24"/>
                <w:highlight w:val="none"/>
                <w:lang w:eastAsia="zh-CN"/>
              </w:rPr>
              <w:t>（</w:t>
            </w:r>
            <w:r>
              <w:rPr>
                <w:rFonts w:hint="eastAsia" w:ascii="Times New Roman" w:hAnsi="Times New Roman" w:eastAsia="仿宋" w:cs="Times New Roman"/>
                <w:color w:val="000000"/>
                <w:kern w:val="0"/>
                <w:sz w:val="24"/>
                <w:highlight w:val="none"/>
                <w:lang w:val="en-US" w:eastAsia="zh-CN"/>
              </w:rPr>
              <w:t>按统计局四位代码填写，可多填</w:t>
            </w:r>
            <w:r>
              <w:rPr>
                <w:rFonts w:hint="eastAsia" w:ascii="Times New Roman" w:hAnsi="Times New Roman" w:eastAsia="仿宋" w:cs="Times New Roman"/>
                <w:color w:val="000000"/>
                <w:kern w:val="0"/>
                <w:sz w:val="24"/>
                <w:highlight w:val="none"/>
                <w:lang w:eastAsia="zh-CN"/>
              </w:rPr>
              <w:t>）</w:t>
            </w:r>
          </w:p>
        </w:tc>
        <w:tc>
          <w:tcPr>
            <w:tcW w:w="1982"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lang w:eastAsia="zh-CN"/>
              </w:rPr>
              <w:t>主要产品</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单位</w:t>
            </w:r>
            <w:r>
              <w:rPr>
                <w:rFonts w:hint="default" w:ascii="Times New Roman" w:hAnsi="Times New Roman" w:eastAsia="仿宋" w:cs="Times New Roman"/>
                <w:color w:val="000000"/>
                <w:kern w:val="0"/>
                <w:sz w:val="24"/>
                <w:highlight w:val="none"/>
              </w:rPr>
              <w:t>性质</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内资（□国有□集体□民营）□中外合资□港澳台□外商独资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统一社会</w:t>
            </w:r>
          </w:p>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信用代码</w:t>
            </w:r>
          </w:p>
        </w:tc>
        <w:tc>
          <w:tcPr>
            <w:tcW w:w="2207" w:type="dxa"/>
            <w:vAlign w:val="center"/>
          </w:tcPr>
          <w:p>
            <w:pPr>
              <w:widowControl/>
              <w:jc w:val="center"/>
              <w:rPr>
                <w:rFonts w:hint="default" w:ascii="Times New Roman" w:hAnsi="Times New Roman" w:eastAsia="仿宋" w:cs="Times New Roman"/>
                <w:color w:val="000000"/>
                <w:kern w:val="0"/>
                <w:sz w:val="24"/>
                <w:highlight w:val="none"/>
              </w:rPr>
            </w:pPr>
          </w:p>
        </w:tc>
        <w:tc>
          <w:tcPr>
            <w:tcW w:w="2207"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法定代表人</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val="en-US"/>
              </w:rPr>
            </w:pPr>
            <w:r>
              <w:rPr>
                <w:rFonts w:hint="default" w:ascii="Times New Roman" w:hAnsi="Times New Roman" w:eastAsia="仿宋" w:cs="Times New Roman"/>
                <w:color w:val="000000"/>
                <w:kern w:val="0"/>
                <w:sz w:val="24"/>
                <w:highlight w:val="none"/>
                <w:lang w:val="en-US"/>
              </w:rPr>
              <w:t>申报工作</w:t>
            </w:r>
          </w:p>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联系部门</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c>
          <w:tcPr>
            <w:tcW w:w="2207"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联系电话</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c>
          <w:tcPr>
            <w:tcW w:w="2207"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电子邮箱</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第三方机构名称</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第三方机构地址</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机构法定代表人</w:t>
            </w:r>
          </w:p>
        </w:tc>
        <w:tc>
          <w:tcPr>
            <w:tcW w:w="2321"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982"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法定代表人电话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机构联系人</w:t>
            </w:r>
          </w:p>
        </w:tc>
        <w:tc>
          <w:tcPr>
            <w:tcW w:w="2321"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982"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报告编制负责人</w:t>
            </w:r>
          </w:p>
        </w:tc>
        <w:tc>
          <w:tcPr>
            <w:tcW w:w="2321"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982"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负责人电话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三、绿色工厂评价结果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基本</w:t>
            </w:r>
            <w:r>
              <w:rPr>
                <w:rFonts w:hint="default" w:ascii="Times New Roman" w:hAnsi="Times New Roman" w:eastAsia="仿宋" w:cs="Times New Roman"/>
                <w:color w:val="000000"/>
                <w:kern w:val="0"/>
                <w:sz w:val="24"/>
                <w:highlight w:val="none"/>
              </w:rPr>
              <w:t>要求</w:t>
            </w:r>
          </w:p>
        </w:tc>
        <w:tc>
          <w:tcPr>
            <w:tcW w:w="232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□符合  □不符合</w:t>
            </w:r>
          </w:p>
        </w:tc>
        <w:tc>
          <w:tcPr>
            <w:tcW w:w="1982"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指标</w:t>
            </w:r>
            <w:r>
              <w:rPr>
                <w:rFonts w:hint="default" w:ascii="Times New Roman" w:hAnsi="Times New Roman" w:eastAsia="仿宋" w:cs="Times New Roman"/>
                <w:color w:val="000000"/>
                <w:kern w:val="0"/>
                <w:sz w:val="24"/>
                <w:highlight w:val="none"/>
                <w:lang w:eastAsia="zh-CN"/>
              </w:rPr>
              <w:t>得分</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亮点</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6"/>
            <w:vAlign w:val="center"/>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结论证据充分，真实、准确的反映了评价过程的发现，严谨的出具结论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widowControl/>
              <w:wordWrap w:val="0"/>
              <w:spacing w:line="360" w:lineRule="auto"/>
              <w:jc w:val="righ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widowControl/>
              <w:jc w:val="center"/>
              <w:rPr>
                <w:rFonts w:hint="default" w:ascii="Times New Roman" w:hAnsi="Times New Roman" w:eastAsia="仿宋" w:cs="Times New Roman"/>
                <w:color w:val="000000"/>
                <w:kern w:val="0"/>
                <w:sz w:val="24"/>
                <w:highlight w:val="none"/>
              </w:rPr>
            </w:pPr>
          </w:p>
        </w:tc>
      </w:tr>
    </w:tbl>
    <w:p>
      <w:pPr>
        <w:bidi w:val="0"/>
        <w:rPr>
          <w:rFonts w:hint="default"/>
        </w:rPr>
      </w:pPr>
      <w:r>
        <w:rPr>
          <w:rFonts w:hint="default"/>
        </w:rPr>
        <w:br w:type="page"/>
      </w:r>
    </w:p>
    <w:p>
      <w:pPr>
        <w:snapToGrid w:val="0"/>
        <w:spacing w:line="480" w:lineRule="auto"/>
        <w:jc w:val="center"/>
        <w:outlineLvl w:val="9"/>
        <w:rPr>
          <w:rFonts w:hint="default" w:ascii="Times New Roman" w:hAnsi="Times New Roman" w:eastAsia="黑体" w:cs="Times New Roman"/>
          <w:bCs/>
          <w:color w:val="000000"/>
          <w:sz w:val="36"/>
          <w:highlight w:val="none"/>
        </w:rPr>
      </w:pPr>
      <w:r>
        <w:rPr>
          <w:rFonts w:hint="default" w:ascii="Times New Roman" w:hAnsi="Times New Roman" w:eastAsia="黑体" w:cs="Times New Roman"/>
          <w:bCs/>
          <w:color w:val="000000"/>
          <w:sz w:val="36"/>
          <w:highlight w:val="none"/>
        </w:rPr>
        <w:t>绿色工厂评价报告（格式）</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主要介绍绿色工厂评价的目的、范围及准则</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受评价方的基本情况</w:t>
      </w:r>
      <w:r>
        <w:rPr>
          <w:rFonts w:hint="eastAsia" w:ascii="Times New Roman" w:hAnsi="Times New Roman" w:eastAsia="仿宋" w:cs="Times New Roman"/>
          <w:sz w:val="30"/>
          <w:szCs w:val="30"/>
          <w:highlight w:val="none"/>
          <w:lang w:val="en-US" w:eastAsia="zh-CN"/>
        </w:rPr>
        <w:t>（</w:t>
      </w:r>
      <w:r>
        <w:rPr>
          <w:rFonts w:hint="eastAsia" w:ascii="Times New Roman" w:hAnsi="Times New Roman" w:eastAsia="仿宋" w:cs="Times New Roman"/>
          <w:sz w:val="30"/>
          <w:szCs w:val="30"/>
          <w:highlight w:val="none"/>
        </w:rPr>
        <w:t>基本信息、发展现状、工艺产品、生产经营状况以及在绿色发展方面开展的重点工作及取得的成绩</w:t>
      </w:r>
      <w:r>
        <w:rPr>
          <w:rFonts w:hint="eastAsia"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等</w:t>
      </w:r>
      <w:r>
        <w:rPr>
          <w:rFonts w:hint="default" w:ascii="Times New Roman" w:hAnsi="Times New Roman" w:eastAsia="仿宋" w:cs="Times New Roman"/>
          <w:sz w:val="30"/>
          <w:szCs w:val="30"/>
          <w:highlight w:val="none"/>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二、评价过程和方法</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rPr>
        <w:t>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w:t>
      </w:r>
      <w:r>
        <w:rPr>
          <w:rFonts w:hint="eastAsia" w:ascii="Times New Roman" w:hAnsi="Times New Roman" w:eastAsia="仿宋" w:cs="Times New Roman"/>
          <w:sz w:val="30"/>
          <w:szCs w:val="30"/>
          <w:highlight w:val="none"/>
          <w:lang w:val="en-US" w:eastAsia="zh-CN"/>
        </w:rPr>
        <w:t>机构</w:t>
      </w:r>
      <w:r>
        <w:rPr>
          <w:rFonts w:hint="default" w:ascii="Times New Roman" w:hAnsi="Times New Roman" w:eastAsia="仿宋" w:cs="Times New Roman"/>
          <w:sz w:val="30"/>
          <w:szCs w:val="30"/>
          <w:highlight w:val="none"/>
        </w:rPr>
        <w:t>应按以下内容对工厂进行评价：</w:t>
      </w:r>
    </w:p>
    <w:p>
      <w:pPr>
        <w:numPr>
          <w:ilvl w:val="0"/>
          <w:numId w:val="0"/>
        </w:numPr>
        <w:ind w:left="0" w:firstLine="600" w:firstLineChars="20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val="en-US" w:eastAsia="zh-CN"/>
        </w:rPr>
        <w:t>1</w:t>
      </w:r>
      <w:r>
        <w:rPr>
          <w:rFonts w:hint="eastAsia" w:ascii="Times New Roman" w:hAnsi="Times New Roman" w:eastAsia="仿宋" w:cs="Times New Roman"/>
          <w:sz w:val="30"/>
          <w:szCs w:val="30"/>
          <w:highlight w:val="none"/>
          <w:lang w:val="en-US" w:eastAsia="zh-CN"/>
        </w:rPr>
        <w:t>.对工厂是否存在</w:t>
      </w:r>
      <w:r>
        <w:rPr>
          <w:rFonts w:hint="eastAsia" w:ascii="Times New Roman" w:hAnsi="Times New Roman" w:eastAsia="仿宋" w:cs="Times New Roman"/>
          <w:sz w:val="30"/>
          <w:szCs w:val="30"/>
          <w:highlight w:val="none"/>
        </w:rPr>
        <w:t>《绿色工厂梯度培育及管理暂行办法》</w:t>
      </w:r>
      <w:r>
        <w:rPr>
          <w:rFonts w:hint="eastAsia" w:ascii="Times New Roman" w:hAnsi="Times New Roman" w:eastAsia="仿宋" w:cs="Times New Roman"/>
          <w:sz w:val="30"/>
          <w:szCs w:val="30"/>
          <w:highlight w:val="none"/>
          <w:lang w:val="en-US" w:eastAsia="zh-CN"/>
        </w:rPr>
        <w:t>中所列</w:t>
      </w:r>
      <w:r>
        <w:rPr>
          <w:rFonts w:hint="default" w:ascii="Times New Roman" w:hAnsi="Times New Roman" w:eastAsia="仿宋" w:cs="Times New Roman"/>
          <w:sz w:val="30"/>
          <w:szCs w:val="30"/>
          <w:highlight w:val="none"/>
        </w:rPr>
        <w:t>否决条件</w:t>
      </w:r>
      <w:r>
        <w:rPr>
          <w:rFonts w:hint="eastAsia" w:ascii="Times New Roman" w:hAnsi="Times New Roman" w:eastAsia="仿宋" w:cs="Times New Roman"/>
          <w:sz w:val="30"/>
          <w:szCs w:val="30"/>
          <w:highlight w:val="none"/>
          <w:lang w:val="en-US" w:eastAsia="zh-CN"/>
        </w:rPr>
        <w:t>的评价情况；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lang w:val="en-US" w:eastAsia="zh-CN"/>
        </w:rPr>
        <w:t>对工厂</w:t>
      </w:r>
      <w:r>
        <w:rPr>
          <w:rFonts w:hint="eastAsia" w:ascii="Times New Roman" w:hAnsi="Times New Roman" w:eastAsia="仿宋" w:cs="Times New Roman"/>
          <w:sz w:val="30"/>
          <w:szCs w:val="30"/>
          <w:highlight w:val="none"/>
          <w:lang w:val="en-US" w:eastAsia="zh-CN"/>
        </w:rPr>
        <w:t>是否符合评价标准中</w:t>
      </w:r>
      <w:r>
        <w:rPr>
          <w:rFonts w:hint="default" w:ascii="Times New Roman" w:hAnsi="Times New Roman" w:eastAsia="仿宋" w:cs="Times New Roman"/>
          <w:sz w:val="30"/>
          <w:szCs w:val="30"/>
          <w:highlight w:val="none"/>
          <w:lang w:val="en-US" w:eastAsia="zh-CN"/>
        </w:rPr>
        <w:t>基本要求的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p>
    <w:p>
      <w:pPr>
        <w:numPr>
          <w:ilvl w:val="0"/>
          <w:numId w:val="0"/>
        </w:numPr>
        <w:ind w:left="0"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3.</w:t>
      </w:r>
      <w:r>
        <w:rPr>
          <w:rFonts w:hint="default" w:ascii="Times New Roman" w:hAnsi="Times New Roman" w:eastAsia="仿宋" w:cs="Times New Roman"/>
          <w:sz w:val="30"/>
          <w:szCs w:val="30"/>
          <w:highlight w:val="none"/>
        </w:rPr>
        <w:t>对工厂基础设施、管理体系、能源</w:t>
      </w:r>
      <w:r>
        <w:rPr>
          <w:rFonts w:hint="default" w:ascii="Times New Roman" w:hAnsi="Times New Roman" w:eastAsia="仿宋" w:cs="Times New Roman"/>
          <w:sz w:val="30"/>
          <w:szCs w:val="30"/>
          <w:highlight w:val="none"/>
          <w:lang w:eastAsia="zh-CN"/>
        </w:rPr>
        <w:t>与</w:t>
      </w:r>
      <w:r>
        <w:rPr>
          <w:rFonts w:hint="default" w:ascii="Times New Roman" w:hAnsi="Times New Roman" w:eastAsia="仿宋" w:cs="Times New Roman"/>
          <w:sz w:val="30"/>
          <w:szCs w:val="30"/>
          <w:highlight w:val="none"/>
        </w:rPr>
        <w:t>资源投入、产品、环境排放、绩效等方面内容</w:t>
      </w:r>
      <w:r>
        <w:rPr>
          <w:rFonts w:hint="default" w:ascii="Times New Roman" w:hAnsi="Times New Roman" w:eastAsia="仿宋" w:cs="Times New Roman"/>
          <w:sz w:val="30"/>
          <w:szCs w:val="30"/>
          <w:highlight w:val="none"/>
          <w:lang w:val="en-US" w:eastAsia="zh-CN"/>
        </w:rPr>
        <w:t>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r>
        <w:rPr>
          <w:rFonts w:hint="eastAsia" w:ascii="Times New Roman" w:hAnsi="Times New Roman" w:eastAsia="仿宋" w:cs="Times New Roman"/>
          <w:sz w:val="30"/>
          <w:szCs w:val="30"/>
          <w:highlight w:val="none"/>
          <w:lang w:val="en-US" w:eastAsia="zh-CN"/>
        </w:rPr>
        <w:t>；</w:t>
      </w:r>
    </w:p>
    <w:p>
      <w:pPr>
        <w:pStyle w:val="4"/>
        <w:ind w:firstLine="600" w:firstLineChars="200"/>
        <w:rPr>
          <w:rFonts w:hint="default" w:ascii="Times New Roman" w:hAnsi="Times New Roman" w:eastAsia="仿宋" w:cs="Times New Roman"/>
          <w:color w:val="000000"/>
          <w:kern w:val="0"/>
          <w:sz w:val="30"/>
          <w:szCs w:val="30"/>
          <w:highlight w:val="none"/>
          <w:lang w:val="en-US" w:eastAsia="zh-CN"/>
        </w:rPr>
      </w:pPr>
      <w:r>
        <w:rPr>
          <w:rFonts w:hint="eastAsia" w:ascii="Times New Roman" w:hAnsi="Times New Roman" w:eastAsia="仿宋" w:cs="Times New Roman"/>
          <w:sz w:val="30"/>
          <w:szCs w:val="30"/>
          <w:highlight w:val="none"/>
          <w:lang w:val="en-US" w:eastAsia="zh-CN"/>
        </w:rPr>
        <w:t>4.工厂在“零碳”工厂创建方面开展的工作情况（加分项）。</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对工厂是否符合绿色工厂要求进行</w:t>
      </w:r>
      <w:r>
        <w:rPr>
          <w:rFonts w:hint="eastAsia" w:ascii="Times New Roman" w:hAnsi="Times New Roman" w:eastAsia="仿宋" w:cs="Times New Roman"/>
          <w:sz w:val="30"/>
          <w:szCs w:val="30"/>
          <w:highlight w:val="none"/>
          <w:lang w:val="en-US" w:eastAsia="zh-CN"/>
        </w:rPr>
        <w:t>总体</w:t>
      </w:r>
      <w:r>
        <w:rPr>
          <w:rFonts w:hint="default" w:ascii="Times New Roman" w:hAnsi="Times New Roman" w:eastAsia="仿宋" w:cs="Times New Roman"/>
          <w:sz w:val="30"/>
          <w:szCs w:val="30"/>
          <w:highlight w:val="none"/>
        </w:rPr>
        <w:t>评价，</w:t>
      </w:r>
      <w:r>
        <w:rPr>
          <w:rFonts w:hint="default" w:ascii="Times New Roman" w:hAnsi="Times New Roman" w:eastAsia="仿宋" w:cs="Times New Roman"/>
          <w:sz w:val="30"/>
          <w:szCs w:val="30"/>
          <w:highlight w:val="none"/>
          <w:lang w:val="en-US" w:eastAsia="zh-CN"/>
        </w:rPr>
        <w:t>给出评价得分</w:t>
      </w:r>
      <w:r>
        <w:rPr>
          <w:rFonts w:hint="default" w:ascii="Times New Roman" w:hAnsi="Times New Roman" w:eastAsia="仿宋" w:cs="Times New Roman"/>
          <w:sz w:val="30"/>
          <w:szCs w:val="30"/>
          <w:highlight w:val="none"/>
        </w:rPr>
        <w:t>，描述主要创建做法</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工作亮点</w:t>
      </w:r>
      <w:r>
        <w:rPr>
          <w:rFonts w:hint="default" w:ascii="Times New Roman" w:hAnsi="Times New Roman" w:eastAsia="仿宋" w:cs="Times New Roman"/>
          <w:sz w:val="30"/>
          <w:szCs w:val="30"/>
          <w:highlight w:val="none"/>
          <w:lang w:val="en-US" w:eastAsia="zh-CN"/>
        </w:rPr>
        <w:t>和仍存在的问题</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对工厂持续创建绿色工厂的下一步工作提出建议。</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六、参考文件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1.1</w:t>
      </w:r>
      <w:r>
        <w:rPr>
          <w:rFonts w:hint="default" w:ascii="Times New Roman" w:hAnsi="Times New Roman" w:eastAsia="仿宋" w:cs="Times New Roman"/>
          <w:sz w:val="30"/>
          <w:szCs w:val="30"/>
          <w:highlight w:val="none"/>
          <w:lang w:val="en-US" w:eastAsia="zh-CN"/>
        </w:rPr>
        <w:t>.1及附表</w:t>
      </w:r>
      <w:r>
        <w:rPr>
          <w:rFonts w:hint="eastAsia" w:ascii="Times New Roman" w:hAnsi="Times New Roman" w:eastAsia="仿宋" w:cs="Times New Roman"/>
          <w:sz w:val="30"/>
          <w:szCs w:val="30"/>
          <w:highlight w:val="none"/>
          <w:lang w:val="en-US" w:eastAsia="zh-CN"/>
        </w:rPr>
        <w:t>1.1</w:t>
      </w: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七、第三方机构资质符合性证明材料</w:t>
      </w:r>
    </w:p>
    <w:p>
      <w:pPr>
        <w:ind w:firstLine="600" w:firstLineChars="200"/>
        <w:rPr>
          <w:rFonts w:hint="eastAsia" w:eastAsiaTheme="minorEastAsia"/>
          <w:highlight w:val="none"/>
          <w:lang w:val="en-US" w:eastAsia="zh-CN"/>
        </w:rPr>
        <w:sectPr>
          <w:footerReference r:id="rId3" w:type="default"/>
          <w:pgSz w:w="11906" w:h="16838"/>
          <w:pgMar w:top="1701" w:right="1587" w:bottom="1587" w:left="1587" w:header="851" w:footer="850"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eastAsia="仿宋" w:cs="Times New Roman"/>
          <w:sz w:val="30"/>
          <w:szCs w:val="30"/>
          <w:highlight w:val="none"/>
        </w:rPr>
        <w:t>列出第三方机构满足条件的资质符合性证明材料。</w:t>
      </w:r>
    </w:p>
    <w:p>
      <w:pPr>
        <w:ind w:firstLine="0" w:firstLineChars="0"/>
        <w:rPr>
          <w:rFonts w:hint="default" w:ascii="Times New Roman" w:hAnsi="Times New Roman" w:eastAsia="仿宋" w:cs="Times New Roman"/>
          <w:highlight w:val="none"/>
        </w:rPr>
      </w:pP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1.1</w:t>
      </w:r>
      <w:r>
        <w:rPr>
          <w:rFonts w:hint="default" w:ascii="Times New Roman" w:hAnsi="Times New Roman" w:eastAsia="仿宋" w:cs="Times New Roman"/>
          <w:sz w:val="30"/>
          <w:szCs w:val="30"/>
          <w:highlight w:val="none"/>
          <w:lang w:val="en-US" w:eastAsia="zh-CN"/>
        </w:rPr>
        <w:t>.1</w:t>
      </w:r>
    </w:p>
    <w:p>
      <w:pPr>
        <w:widowControl/>
        <w:jc w:val="center"/>
        <w:rPr>
          <w:rFonts w:hint="default" w:ascii="Times New Roman" w:hAnsi="Times New Roman" w:eastAsia="黑体" w:cs="Times New Roman"/>
          <w:bCs/>
          <w:sz w:val="36"/>
          <w:szCs w:val="36"/>
          <w:highlight w:val="none"/>
        </w:rPr>
      </w:pPr>
      <w:r>
        <w:rPr>
          <w:rFonts w:hint="default" w:ascii="Times New Roman" w:hAnsi="Times New Roman" w:eastAsia="黑体" w:cs="Times New Roman"/>
          <w:bCs/>
          <w:sz w:val="36"/>
          <w:szCs w:val="36"/>
          <w:highlight w:val="none"/>
        </w:rPr>
        <w:t>绿色工厂</w:t>
      </w:r>
      <w:r>
        <w:rPr>
          <w:rFonts w:hint="default" w:ascii="Times New Roman" w:hAnsi="Times New Roman" w:eastAsia="黑体" w:cs="Times New Roman"/>
          <w:bCs/>
          <w:sz w:val="36"/>
          <w:szCs w:val="36"/>
          <w:highlight w:val="none"/>
          <w:lang w:eastAsia="zh-CN"/>
        </w:rPr>
        <w:t>基本要求第三方</w:t>
      </w:r>
      <w:r>
        <w:rPr>
          <w:rFonts w:hint="default" w:ascii="Times New Roman" w:hAnsi="Times New Roman" w:eastAsia="黑体" w:cs="Times New Roman"/>
          <w:bCs/>
          <w:sz w:val="36"/>
          <w:szCs w:val="36"/>
          <w:highlight w:val="none"/>
        </w:rPr>
        <w:t>评价表</w:t>
      </w:r>
    </w:p>
    <w:p>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11"/>
        <w:tblW w:w="14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746"/>
        <w:gridCol w:w="6689"/>
        <w:gridCol w:w="1392"/>
        <w:gridCol w:w="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70" w:hRule="atLeast"/>
          <w:tblHeader/>
        </w:trPr>
        <w:tc>
          <w:tcPr>
            <w:tcW w:w="8435" w:type="dxa"/>
            <w:gridSpan w:val="2"/>
            <w:vAlign w:val="center"/>
          </w:tcPr>
          <w:p>
            <w:pPr>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基本要求</w:t>
            </w:r>
          </w:p>
        </w:tc>
        <w:tc>
          <w:tcPr>
            <w:tcW w:w="1392" w:type="dxa"/>
            <w:vAlign w:val="center"/>
          </w:tcPr>
          <w:p>
            <w:pPr>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是否符合</w:t>
            </w:r>
          </w:p>
        </w:tc>
        <w:tc>
          <w:tcPr>
            <w:tcW w:w="4281"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10" w:hRule="atLeast"/>
        </w:trPr>
        <w:tc>
          <w:tcPr>
            <w:tcW w:w="1746" w:type="dxa"/>
            <w:vMerge w:val="restart"/>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基础</w:t>
            </w:r>
            <w:r>
              <w:rPr>
                <w:rFonts w:hint="default" w:ascii="Times New Roman" w:hAnsi="Times New Roman" w:eastAsia="仿宋" w:cs="Times New Roman"/>
                <w:sz w:val="24"/>
                <w:szCs w:val="24"/>
                <w:highlight w:val="none"/>
              </w:rPr>
              <w:t>合规性与相关方要求</w:t>
            </w:r>
          </w:p>
        </w:tc>
        <w:tc>
          <w:tcPr>
            <w:tcW w:w="6689" w:type="dxa"/>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绿色工厂应依法设立，在建设和生产过程中应遵守有关法律、法规、政策和标准。</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45"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近三年（含成立不足三年）无较大及以上安全、环保、质量等事故。</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对利益相关方的环境要求做出承诺的，应同时满足有关承诺的要求。</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restart"/>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基础管理职责——最高管理者</w:t>
            </w: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lang w:val="en-US" w:eastAsia="zh-CN"/>
              </w:rPr>
              <w:t>最高管理者在绿色工厂方面的领导作用和承诺满足GB/T 36132中4.3.1 a)的要求。</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lang w:eastAsia="zh-CN"/>
              </w:rPr>
              <w:t>最高管理者</w:t>
            </w:r>
            <w:r>
              <w:rPr>
                <w:rFonts w:hint="default" w:ascii="Times New Roman" w:hAnsi="Times New Roman" w:eastAsia="仿宋" w:cs="Times New Roman"/>
                <w:kern w:val="2"/>
                <w:sz w:val="24"/>
                <w:szCs w:val="24"/>
                <w:highlight w:val="none"/>
              </w:rPr>
              <w:t>确保在工厂内部分配并沟通与绿色工厂相关角色的职责和权限</w:t>
            </w:r>
            <w:r>
              <w:rPr>
                <w:rFonts w:hint="default" w:ascii="Times New Roman" w:hAnsi="Times New Roman" w:eastAsia="仿宋" w:cs="Times New Roman"/>
                <w:kern w:val="2"/>
                <w:sz w:val="24"/>
                <w:szCs w:val="24"/>
                <w:highlight w:val="none"/>
                <w:lang w:eastAsia="zh-CN"/>
              </w:rPr>
              <w:t>，且满</w:t>
            </w:r>
            <w:r>
              <w:rPr>
                <w:rFonts w:hint="default" w:ascii="Times New Roman" w:hAnsi="Times New Roman" w:eastAsia="仿宋" w:cs="Times New Roman"/>
                <w:kern w:val="2"/>
                <w:sz w:val="24"/>
                <w:szCs w:val="24"/>
                <w:highlight w:val="none"/>
                <w:lang w:val="en-US" w:eastAsia="zh-CN"/>
              </w:rPr>
              <w:t>足GB/T 36132中4.3.1 b)的要求。</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restart"/>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基础管理职责——工厂</w:t>
            </w: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应设有绿色工厂管理机构，负责有关绿色工厂的制度建设、实施、考核及奖励工作，建立目标责任制。</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应有开展绿色</w:t>
            </w:r>
            <w:r>
              <w:rPr>
                <w:rFonts w:hint="default" w:ascii="Times New Roman" w:hAnsi="Times New Roman" w:eastAsia="仿宋" w:cs="Times New Roman"/>
                <w:kern w:val="2"/>
                <w:sz w:val="24"/>
                <w:szCs w:val="24"/>
                <w:highlight w:val="none"/>
                <w:lang w:eastAsia="zh-CN"/>
              </w:rPr>
              <w:t>工厂</w:t>
            </w:r>
            <w:r>
              <w:rPr>
                <w:rFonts w:hint="default" w:ascii="Times New Roman" w:hAnsi="Times New Roman" w:eastAsia="仿宋" w:cs="Times New Roman"/>
                <w:kern w:val="2"/>
                <w:sz w:val="24"/>
                <w:szCs w:val="24"/>
                <w:highlight w:val="none"/>
              </w:rPr>
              <w:t>的中长期规划及年度目标、指标和实施方案。可行时，指标应明确且可量化。</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应传播绿色制造的概念和知识，定期为员工提供绿色制造相关知识的教育、培训，并对教育和培训的结果进行考评</w:t>
            </w:r>
            <w:r>
              <w:rPr>
                <w:rFonts w:hint="default" w:ascii="Times New Roman" w:hAnsi="Times New Roman" w:eastAsia="仿宋" w:cs="Times New Roman"/>
                <w:kern w:val="2"/>
                <w:sz w:val="24"/>
                <w:szCs w:val="24"/>
                <w:highlight w:val="none"/>
                <w:lang w:eastAsia="zh-CN"/>
              </w:rPr>
              <w:t>。</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bl>
    <w:p>
      <w:pPr>
        <w:ind w:firstLine="0" w:firstLineChars="0"/>
        <w:rPr>
          <w:rFonts w:hint="default" w:ascii="Times New Roman" w:hAnsi="Times New Roman" w:eastAsia="仿宋_GB2312" w:cs="Times New Roman"/>
          <w:sz w:val="30"/>
          <w:szCs w:val="30"/>
          <w:highlight w:val="none"/>
          <w:lang w:val="en-US"/>
        </w:rPr>
      </w:pPr>
      <w:r>
        <w:rPr>
          <w:rFonts w:hint="default" w:ascii="Times New Roman" w:hAnsi="Times New Roman" w:eastAsia="仿宋_GB2312" w:cs="Times New Roman"/>
          <w:sz w:val="30"/>
          <w:szCs w:val="30"/>
          <w:highlight w:val="none"/>
          <w:lang w:eastAsia="zh-CN"/>
        </w:rPr>
        <w:br w:type="page"/>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1.1</w:t>
      </w:r>
      <w:r>
        <w:rPr>
          <w:rFonts w:hint="default" w:ascii="Times New Roman" w:hAnsi="Times New Roman" w:eastAsia="仿宋" w:cs="Times New Roman"/>
          <w:sz w:val="30"/>
          <w:szCs w:val="30"/>
          <w:highlight w:val="none"/>
          <w:lang w:val="en-US" w:eastAsia="zh-CN"/>
        </w:rPr>
        <w:t>.2</w:t>
      </w:r>
    </w:p>
    <w:p>
      <w:pPr>
        <w:widowControl/>
        <w:jc w:val="center"/>
        <w:rPr>
          <w:rFonts w:hint="default" w:ascii="Times New Roman" w:hAnsi="Times New Roman" w:eastAsia="黑体" w:cs="Times New Roman"/>
          <w:bCs/>
          <w:sz w:val="36"/>
          <w:szCs w:val="36"/>
          <w:highlight w:val="none"/>
        </w:rPr>
      </w:pPr>
      <w:r>
        <w:rPr>
          <w:rFonts w:hint="default" w:ascii="Times New Roman" w:hAnsi="Times New Roman" w:eastAsia="黑体" w:cs="Times New Roman"/>
          <w:bCs/>
          <w:sz w:val="36"/>
          <w:szCs w:val="36"/>
          <w:highlight w:val="none"/>
        </w:rPr>
        <w:t>绿色工厂评价指标</w:t>
      </w:r>
      <w:r>
        <w:rPr>
          <w:rFonts w:hint="default" w:ascii="Times New Roman" w:hAnsi="Times New Roman" w:eastAsia="黑体" w:cs="Times New Roman"/>
          <w:bCs/>
          <w:sz w:val="36"/>
          <w:szCs w:val="36"/>
          <w:highlight w:val="none"/>
          <w:lang w:eastAsia="zh-CN"/>
        </w:rPr>
        <w:t>第三方</w:t>
      </w:r>
      <w:r>
        <w:rPr>
          <w:rFonts w:hint="default" w:ascii="Times New Roman" w:hAnsi="Times New Roman" w:eastAsia="黑体" w:cs="Times New Roman"/>
          <w:bCs/>
          <w:sz w:val="36"/>
          <w:szCs w:val="36"/>
          <w:highlight w:val="none"/>
        </w:rPr>
        <w:t>评价表</w:t>
      </w:r>
    </w:p>
    <w:p>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11"/>
        <w:tblW w:w="14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04"/>
        <w:gridCol w:w="1135"/>
        <w:gridCol w:w="1135"/>
        <w:gridCol w:w="4960"/>
        <w:gridCol w:w="2404"/>
        <w:gridCol w:w="3"/>
        <w:gridCol w:w="1275"/>
        <w:gridCol w:w="851"/>
        <w:gridCol w:w="822"/>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blHeader/>
        </w:trPr>
        <w:tc>
          <w:tcPr>
            <w:tcW w:w="704" w:type="dxa"/>
            <w:vAlign w:val="center"/>
          </w:tcPr>
          <w:p>
            <w:pPr>
              <w:widowControl/>
              <w:jc w:val="center"/>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sz w:val="24"/>
                <w:szCs w:val="24"/>
                <w:highlight w:val="none"/>
              </w:rPr>
              <w:t>序号</w:t>
            </w:r>
          </w:p>
        </w:tc>
        <w:tc>
          <w:tcPr>
            <w:tcW w:w="1135"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一级指标</w:t>
            </w:r>
          </w:p>
        </w:tc>
        <w:tc>
          <w:tcPr>
            <w:tcW w:w="1135"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二级指标</w:t>
            </w:r>
          </w:p>
        </w:tc>
        <w:tc>
          <w:tcPr>
            <w:tcW w:w="4960"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lang w:eastAsia="zh-CN"/>
              </w:rPr>
              <w:t>具体评价</w:t>
            </w:r>
            <w:r>
              <w:rPr>
                <w:rFonts w:hint="default" w:ascii="Times New Roman" w:hAnsi="Times New Roman" w:eastAsia="仿宋" w:cs="Times New Roman"/>
                <w:b/>
                <w:bCs/>
                <w:sz w:val="24"/>
                <w:szCs w:val="24"/>
                <w:highlight w:val="none"/>
              </w:rPr>
              <w:t>要求</w:t>
            </w:r>
          </w:p>
        </w:tc>
        <w:tc>
          <w:tcPr>
            <w:tcW w:w="2407" w:type="dxa"/>
            <w:gridSpan w:val="2"/>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符合性说明及证明材料索引</w:t>
            </w:r>
          </w:p>
        </w:tc>
        <w:tc>
          <w:tcPr>
            <w:tcW w:w="1275"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要求类型</w:t>
            </w:r>
          </w:p>
        </w:tc>
        <w:tc>
          <w:tcPr>
            <w:tcW w:w="851"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分值</w:t>
            </w:r>
          </w:p>
        </w:tc>
        <w:tc>
          <w:tcPr>
            <w:tcW w:w="822"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权重</w:t>
            </w:r>
          </w:p>
        </w:tc>
        <w:tc>
          <w:tcPr>
            <w:tcW w:w="788"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基础设施</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工厂的建筑应满足国家或地方相关法律法规及标准的要求。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20%</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新建、改建和扩建建筑时，应遵守国家“固定资产投资项目节能评估审查制度</w:t>
            </w:r>
            <w:r>
              <w:rPr>
                <w:rFonts w:hint="eastAsia"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三同时制度</w:t>
            </w:r>
            <w:r>
              <w:rPr>
                <w:rFonts w:hint="eastAsia"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工业项目建设用地控制指标”等产业政策和有关要求。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厂房内部装饰装修材料中醛、苯、氨、氡等有害物质</w:t>
            </w:r>
            <w:r>
              <w:rPr>
                <w:rFonts w:hint="default" w:ascii="Times New Roman" w:hAnsi="Times New Roman" w:eastAsia="仿宋" w:cs="Times New Roman"/>
                <w:sz w:val="24"/>
                <w:szCs w:val="24"/>
                <w:highlight w:val="none"/>
                <w:lang w:eastAsia="zh-CN"/>
              </w:rPr>
              <w:t>应</w:t>
            </w:r>
            <w:r>
              <w:rPr>
                <w:rFonts w:hint="default" w:ascii="Times New Roman" w:hAnsi="Times New Roman" w:eastAsia="仿宋" w:cs="Times New Roman"/>
                <w:sz w:val="24"/>
                <w:szCs w:val="24"/>
                <w:highlight w:val="none"/>
              </w:rPr>
              <w:t>符合国家和地方法律、标准要求。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危险品仓库、有毒有害操作间、废弃物处理间等产生污染物的房间应独立设置。</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建筑材料：（1）选用蕴能低、高性能、高耐久性和本地建材，减少建材在全生命周期中的能源消耗；（2）室内装饰装修材料满足国家标准GB 18580～18588和《建筑材料放射性核素限量》GB 6566的要求。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建筑结构：采用钢结构、砌体结构和木结构等资源消耗和环境影响小的建筑结构体系。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绿化及场地：（1）场地内设置可遮荫避雨的步行连廊。（2）厂区绿化适宜，优先种植乡土植物，采用少维护、耐候性强的植物，减少日常维护的费用。（3）室外透水地面面积占室外总面积的比例不小于30%。</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再生资源及能源利用：（1）可再生能源的使用占建筑总能耗的比例大于10%；（2）采用节水器具和设备，节水率不低于10%。</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适用时，工厂的厂房采用多层建筑。</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照明</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人工照明</w:t>
            </w:r>
            <w:r>
              <w:rPr>
                <w:rFonts w:hint="default" w:ascii="Times New Roman" w:hAnsi="Times New Roman" w:eastAsia="仿宋" w:cs="Times New Roman"/>
                <w:kern w:val="0"/>
                <w:sz w:val="24"/>
                <w:highlight w:val="none"/>
              </w:rPr>
              <w:t>应符合GB 50034规定。</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7</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不同场所的照明应进行分级设计。</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工厂厂区及各房间或场所的照明尽量利用自然光。</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工艺适用时，节能灯等节能型照明设备的使用占比不低于50%。</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公共场所的照明采取分区、分组与定时自动调光等措施。</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设备</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设施</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专用设备应符合产业准入要求，降低能源与资源消耗，减少污染物排放</w:t>
            </w:r>
            <w:r>
              <w:rPr>
                <w:rFonts w:hint="default" w:ascii="Times New Roman" w:hAnsi="Times New Roman" w:eastAsia="仿宋" w:cs="Times New Roman"/>
                <w:kern w:val="0"/>
                <w:sz w:val="24"/>
                <w:szCs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适用时，</w:t>
            </w:r>
            <w:r>
              <w:rPr>
                <w:rFonts w:hint="default" w:ascii="Times New Roman" w:hAnsi="Times New Roman" w:eastAsia="仿宋" w:cs="Times New Roman"/>
                <w:kern w:val="0"/>
                <w:sz w:val="24"/>
                <w:szCs w:val="24"/>
                <w:highlight w:val="none"/>
              </w:rPr>
              <w:t>工厂使用的</w:t>
            </w:r>
            <w:r>
              <w:rPr>
                <w:rFonts w:hint="default" w:ascii="Times New Roman" w:hAnsi="Times New Roman" w:eastAsia="仿宋" w:cs="Times New Roman"/>
                <w:kern w:val="0"/>
                <w:sz w:val="24"/>
                <w:szCs w:val="24"/>
                <w:highlight w:val="none"/>
                <w:lang w:eastAsia="zh-CN"/>
              </w:rPr>
              <w:t>通用</w:t>
            </w:r>
            <w:r>
              <w:rPr>
                <w:rFonts w:hint="default" w:ascii="Times New Roman" w:hAnsi="Times New Roman" w:eastAsia="仿宋" w:cs="Times New Roman"/>
                <w:kern w:val="0"/>
                <w:sz w:val="24"/>
                <w:szCs w:val="24"/>
                <w:highlight w:val="none"/>
              </w:rPr>
              <w:t>设备应达到相关标准中能效限定值的强制性要求。已明令禁止生产、使用的和能耗高、效率低的设备应限期淘汰更新</w:t>
            </w:r>
            <w:r>
              <w:rPr>
                <w:rFonts w:hint="default" w:ascii="Times New Roman" w:hAnsi="Times New Roman" w:eastAsia="仿宋" w:cs="Times New Roman"/>
                <w:kern w:val="0"/>
                <w:sz w:val="24"/>
                <w:szCs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通用设备或其系统的实际运行效率或主要运行参数应符合该设备经济运行的要求。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pStyle w:val="20"/>
              <w:autoSpaceDE w:val="0"/>
              <w:autoSpaceDN w:val="0"/>
              <w:adjustRightInd w:val="0"/>
              <w:spacing w:before="0" w:beforeLines="0" w:beforeAutospacing="0" w:after="0" w:afterLines="0" w:afterAutospacing="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Cs w:val="22"/>
                <w:highlight w:val="none"/>
              </w:rPr>
              <w:t>工厂应依据GB 17167、GB</w:t>
            </w:r>
            <w:r>
              <w:rPr>
                <w:rFonts w:hint="eastAsia" w:ascii="Times New Roman" w:hAnsi="Times New Roman" w:eastAsia="仿宋" w:cs="Times New Roman"/>
                <w:szCs w:val="22"/>
                <w:highlight w:val="none"/>
                <w:lang w:val="en-US" w:eastAsia="zh-CN"/>
              </w:rPr>
              <w:t xml:space="preserve"> </w:t>
            </w:r>
            <w:r>
              <w:rPr>
                <w:rFonts w:hint="default" w:ascii="Times New Roman" w:hAnsi="Times New Roman" w:eastAsia="仿宋" w:cs="Times New Roman"/>
                <w:szCs w:val="22"/>
                <w:highlight w:val="none"/>
              </w:rPr>
              <w:t>24789等要求配备、使用和管理能源、水以及其他资源的计量器具和装置。</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必要时，工厂应投入适宜的污染物处理设备，以确保其污染物排放达到相关法律法规及标准要求。污染物处理设备的处理能力应与工厂生产排放相适应，设备应满足通用设备的节能方面的要求。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lang w:eastAsia="zh-CN"/>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工厂使用的通用用能设备采用了节能型产品或效率高、能耗低、水耗低、物耗低的产品。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管理体系</w:t>
            </w: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一般</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要求</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19001的要求的质量管理体系。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15%</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通过质量管理体系第三方认证。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28001要求的职业健康安全管理体系。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通过职业健康安全管理体系第三方认证。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环境管理体系</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24001要求的环境管理体系。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通过环境管理体系第三方认证。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能源管理体系</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23331要求的能源管理体系。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通过能源管理体系第三方认证。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社会</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责任</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每年发布社会责任报告，说明履行利益相关方责任的情况，特别是环境社会责任的履行情况，报告公开可获得。</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能源资源投入</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投入</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highlight w:val="none"/>
                <w:lang w:val="en-US" w:eastAsia="zh-CN"/>
              </w:rPr>
              <w:t>工厂应优化用能结构，在保证安全、质量的前提下减少不可再生能源投入。</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15%</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建有能源管理中心。</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建有厂区光伏电站、智能微电网。</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使用了低碳清洁的新能源。</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使用可再生能源代替不可再生能源。</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充分利用余热余压。</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资源</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投入</w:t>
            </w: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工厂应按照GB/T 7119的要求对其开展节水评价工作，且满足GB/T 18916（所有部分）中对应本行业的取水定额要求。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工厂应减少材料</w:t>
            </w:r>
            <w:r>
              <w:rPr>
                <w:rFonts w:hint="eastAsia" w:ascii="Times New Roman" w:hAnsi="Times New Roman" w:eastAsia="仿宋" w:cs="Times New Roman"/>
                <w:kern w:val="0"/>
                <w:sz w:val="24"/>
                <w:highlight w:val="none"/>
                <w:lang w:eastAsia="zh-CN"/>
              </w:rPr>
              <w:t>，尤其是</w:t>
            </w:r>
            <w:r>
              <w:rPr>
                <w:rFonts w:hint="default" w:ascii="Times New Roman" w:hAnsi="Times New Roman" w:eastAsia="仿宋" w:cs="Times New Roman"/>
                <w:kern w:val="0"/>
                <w:sz w:val="24"/>
                <w:highlight w:val="none"/>
              </w:rPr>
              <w:t>有害物质的使用</w:t>
            </w:r>
            <w:r>
              <w:rPr>
                <w:rFonts w:hint="default" w:ascii="Times New Roman" w:hAnsi="Times New Roman" w:eastAsia="仿宋" w:cs="Times New Roman"/>
                <w:kern w:val="0"/>
                <w:sz w:val="24"/>
                <w:highlight w:val="none"/>
                <w:lang w:eastAsia="zh-CN"/>
              </w:rPr>
              <w:t>，</w:t>
            </w:r>
            <w:r>
              <w:rPr>
                <w:rFonts w:hint="default" w:ascii="Times New Roman" w:hAnsi="Times New Roman" w:eastAsia="仿宋" w:cs="Times New Roman"/>
                <w:kern w:val="0"/>
                <w:sz w:val="24"/>
                <w:highlight w:val="none"/>
              </w:rPr>
              <w:t>评估有害物质及化学品减量使用或替代的可行性</w:t>
            </w:r>
            <w:r>
              <w:rPr>
                <w:rFonts w:hint="default" w:ascii="Times New Roman" w:hAnsi="Times New Roman" w:eastAsia="仿宋" w:cs="Times New Roman"/>
                <w:kern w:val="0"/>
                <w:sz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szCs w:val="24"/>
                <w:highlight w:val="none"/>
              </w:rPr>
              <w:t>工厂应按照GB/T 29115的要求对其原材料使用量的减少进行评价。</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使用回收料、可回收材料替代原生材料、不可回收材料。</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替代或减少全球增温潜势较高温室气体的使用。</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采购</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工厂应制定并实施包括环保要求的选择、评价和重新评价供方的准则</w:t>
            </w:r>
            <w:r>
              <w:rPr>
                <w:rFonts w:hint="default" w:ascii="Times New Roman" w:hAnsi="Times New Roman" w:eastAsia="仿宋" w:cs="Times New Roman"/>
                <w:sz w:val="24"/>
                <w:szCs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工厂应确定并实施检验或其他必要的活动，以确保采购的产品满足规定的采购要求。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工厂向供方提供的采购信息包含有害物质使用、可回收材料使用、能效等环保要求。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满足绿色供应链评价要求。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产品</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生态</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设计</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工厂在产品设计中引入生态设计的理念。</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30</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10%</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按照GB/T 24256对生产的产品进行生态设计</w:t>
            </w:r>
            <w:r>
              <w:rPr>
                <w:rFonts w:hint="default" w:ascii="Times New Roman" w:hAnsi="Times New Roman" w:eastAsia="仿宋" w:cs="Times New Roman"/>
                <w:kern w:val="0"/>
                <w:sz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32161对生产的产品进行生态设计产品评价，满足绿色产品（生态设计产品）评价要求。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有害物质使用</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工厂生产的产品</w:t>
            </w:r>
            <w:r>
              <w:rPr>
                <w:rFonts w:hint="default" w:ascii="Times New Roman" w:hAnsi="Times New Roman" w:eastAsia="仿宋" w:cs="Times New Roman"/>
                <w:sz w:val="24"/>
                <w:szCs w:val="24"/>
                <w:highlight w:val="none"/>
                <w:lang w:eastAsia="zh-CN"/>
              </w:rPr>
              <w:t>（包括原料和辅料）</w:t>
            </w:r>
            <w:r>
              <w:rPr>
                <w:rFonts w:hint="default" w:ascii="Times New Roman" w:hAnsi="Times New Roman" w:eastAsia="仿宋" w:cs="Times New Roman"/>
                <w:sz w:val="24"/>
                <w:szCs w:val="24"/>
                <w:highlight w:val="none"/>
              </w:rPr>
              <w:t>应减少有害物质的使用，避免有害物质的泄露，满足国家对产品中有害物质限制使用的要求。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实现有害物质替代</w:t>
            </w:r>
            <w:r>
              <w:rPr>
                <w:rFonts w:hint="default" w:ascii="Times New Roman" w:hAnsi="Times New Roman" w:eastAsia="仿宋" w:cs="Times New Roman"/>
                <w:kern w:val="0"/>
                <w:sz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节能</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工厂生产的产品若为用能产品或在使用过程中对最终产品/构造的能耗有影响的产品，适用时，应满足相关标准的限定值要求</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未制定标准的，产品能效应不低于行业平均值。</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r>
              <w:rPr>
                <w:rFonts w:hint="default" w:ascii="Times New Roman" w:hAnsi="Times New Roman" w:eastAsia="仿宋" w:cs="Times New Roman"/>
                <w:sz w:val="24"/>
                <w:szCs w:val="24"/>
                <w:highlight w:val="none"/>
              </w:rPr>
              <w:t>（适用时）</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达到</w:t>
            </w:r>
            <w:r>
              <w:rPr>
                <w:rFonts w:hint="default" w:ascii="Times New Roman" w:hAnsi="Times New Roman" w:eastAsia="仿宋" w:cs="Times New Roman"/>
                <w:kern w:val="0"/>
                <w:sz w:val="24"/>
                <w:highlight w:val="none"/>
                <w:lang w:eastAsia="zh-CN"/>
              </w:rPr>
              <w:t>相关</w:t>
            </w:r>
            <w:r>
              <w:rPr>
                <w:rFonts w:hint="default" w:ascii="Times New Roman" w:hAnsi="Times New Roman" w:eastAsia="仿宋" w:cs="Times New Roman"/>
                <w:kern w:val="0"/>
                <w:sz w:val="24"/>
                <w:highlight w:val="none"/>
              </w:rPr>
              <w:t>标准中的</w:t>
            </w:r>
            <w:r>
              <w:rPr>
                <w:rFonts w:hint="default" w:ascii="Times New Roman" w:hAnsi="Times New Roman" w:eastAsia="仿宋" w:cs="Times New Roman"/>
                <w:kern w:val="0"/>
                <w:sz w:val="24"/>
                <w:highlight w:val="none"/>
                <w:lang w:eastAsia="zh-CN"/>
              </w:rPr>
              <w:t>节能评价值</w:t>
            </w:r>
            <w:r>
              <w:rPr>
                <w:rFonts w:hint="default" w:ascii="Times New Roman" w:hAnsi="Times New Roman" w:eastAsia="仿宋" w:cs="Times New Roman"/>
                <w:kern w:val="0"/>
                <w:sz w:val="24"/>
                <w:highlight w:val="none"/>
                <w:lang w:val="en-US" w:eastAsia="zh-CN"/>
              </w:rPr>
              <w:t>/</w:t>
            </w:r>
            <w:r>
              <w:rPr>
                <w:rFonts w:hint="default" w:ascii="Times New Roman" w:hAnsi="Times New Roman" w:eastAsia="仿宋" w:cs="Times New Roman"/>
                <w:kern w:val="0"/>
                <w:sz w:val="24"/>
                <w:highlight w:val="none"/>
                <w:lang w:eastAsia="zh-CN"/>
              </w:rPr>
              <w:t>先进</w:t>
            </w:r>
            <w:r>
              <w:rPr>
                <w:rFonts w:hint="default" w:ascii="Times New Roman" w:hAnsi="Times New Roman" w:eastAsia="仿宋" w:cs="Times New Roman"/>
                <w:kern w:val="0"/>
                <w:sz w:val="24"/>
                <w:highlight w:val="none"/>
              </w:rPr>
              <w:t>值要求，未制定标准的，产品能效达到行业前20%的水平</w:t>
            </w:r>
            <w:r>
              <w:rPr>
                <w:rFonts w:hint="default" w:ascii="Times New Roman" w:hAnsi="Times New Roman" w:eastAsia="仿宋" w:cs="Times New Roman"/>
                <w:kern w:val="0"/>
                <w:sz w:val="24"/>
                <w:highlight w:val="none"/>
                <w:lang w:eastAsia="zh-CN"/>
              </w:rPr>
              <w:t>，前</w:t>
            </w:r>
            <w:r>
              <w:rPr>
                <w:rFonts w:hint="default" w:ascii="Times New Roman" w:hAnsi="Times New Roman" w:eastAsia="仿宋" w:cs="Times New Roman"/>
                <w:kern w:val="0"/>
                <w:sz w:val="24"/>
                <w:highlight w:val="none"/>
                <w:lang w:val="en-US" w:eastAsia="zh-CN"/>
              </w:rPr>
              <w:t>5%为满分</w:t>
            </w:r>
            <w:r>
              <w:rPr>
                <w:rFonts w:hint="default" w:ascii="Times New Roman" w:hAnsi="Times New Roman" w:eastAsia="仿宋" w:cs="Times New Roman"/>
                <w:kern w:val="0"/>
                <w:sz w:val="24"/>
                <w:highlight w:val="none"/>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r>
              <w:rPr>
                <w:rFonts w:hint="default" w:ascii="Times New Roman" w:hAnsi="Times New Roman" w:eastAsia="仿宋" w:cs="Times New Roman"/>
                <w:sz w:val="24"/>
                <w:szCs w:val="24"/>
                <w:highlight w:val="none"/>
              </w:rPr>
              <w:t>（适用时）</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减碳</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采用适用的标准或规范对产品进行碳足迹核算或核查。</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利用核算或核查结果对其产品的碳足迹进行改善。</w:t>
            </w:r>
            <w:r>
              <w:rPr>
                <w:rFonts w:hint="default" w:ascii="Times New Roman" w:hAnsi="Times New Roman" w:eastAsia="仿宋" w:cs="Times New Roman"/>
                <w:kern w:val="0"/>
                <w:sz w:val="24"/>
                <w:highlight w:val="none"/>
                <w:lang w:eastAsia="zh-CN"/>
              </w:rPr>
              <w:t>核算</w:t>
            </w:r>
            <w:r>
              <w:rPr>
                <w:rFonts w:hint="default" w:ascii="Times New Roman" w:hAnsi="Times New Roman" w:eastAsia="仿宋" w:cs="Times New Roman"/>
                <w:kern w:val="0"/>
                <w:sz w:val="24"/>
                <w:highlight w:val="none"/>
              </w:rPr>
              <w:t>或核查结果对外公布。</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适用时，产品满足相关低碳产品要求。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可回收利用率</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按照GB/T 20862的要求计算其产品的可回收利用率。</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利用计算结果对产品的可回收利用率进行改善。</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环境排放</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大气污染物</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工厂的大气污染物排放应符合相关国家标准、行业标准及地方标准要求，并满足区域内排放总量控制要求。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10%</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jc w:val="cente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w:t>
            </w:r>
            <w:r>
              <w:rPr>
                <w:rFonts w:hint="default" w:ascii="Times New Roman" w:hAnsi="Times New Roman" w:eastAsia="仿宋" w:cs="Times New Roman"/>
                <w:kern w:val="0"/>
                <w:sz w:val="24"/>
                <w:highlight w:val="none"/>
              </w:rPr>
              <w:t>大气污染物排放</w:t>
            </w:r>
            <w:r>
              <w:rPr>
                <w:rFonts w:hint="default" w:ascii="Times New Roman" w:hAnsi="Times New Roman" w:eastAsia="仿宋" w:cs="Times New Roman"/>
                <w:kern w:val="0"/>
                <w:sz w:val="24"/>
                <w:highlight w:val="none"/>
                <w:lang w:eastAsia="zh-CN"/>
              </w:rPr>
              <w:t>满足标准中更高等级的要求。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jc w:val="cente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水体污染物</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工厂的水体污染物排放应符合相关国家标准、行业标准及地方标准要求，或在满足要求的前提下委托具备相应能力和资质的处理厂进行处理，并满足区域内排放总量控制要求。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主要水体</w:t>
            </w:r>
            <w:r>
              <w:rPr>
                <w:rFonts w:hint="default" w:ascii="Times New Roman" w:hAnsi="Times New Roman" w:eastAsia="仿宋" w:cs="Times New Roman"/>
                <w:kern w:val="0"/>
                <w:sz w:val="24"/>
                <w:highlight w:val="none"/>
              </w:rPr>
              <w:t>污染物排放</w:t>
            </w:r>
            <w:r>
              <w:rPr>
                <w:rFonts w:hint="default" w:ascii="Times New Roman" w:hAnsi="Times New Roman" w:eastAsia="仿宋" w:cs="Times New Roman"/>
                <w:kern w:val="0"/>
                <w:sz w:val="24"/>
                <w:highlight w:val="none"/>
                <w:lang w:eastAsia="zh-CN"/>
              </w:rPr>
              <w:t>满足标准中更高等级的要求。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固体废</w:t>
            </w:r>
            <w:r>
              <w:rPr>
                <w:rFonts w:hint="default" w:ascii="Times New Roman" w:hAnsi="Times New Roman" w:eastAsia="仿宋" w:cs="Times New Roman"/>
                <w:sz w:val="24"/>
                <w:szCs w:val="24"/>
                <w:highlight w:val="none"/>
                <w:lang w:eastAsia="zh-CN"/>
              </w:rPr>
              <w:t>弃</w:t>
            </w:r>
            <w:r>
              <w:rPr>
                <w:rFonts w:hint="default" w:ascii="Times New Roman" w:hAnsi="Times New Roman" w:eastAsia="仿宋" w:cs="Times New Roman"/>
                <w:sz w:val="24"/>
                <w:szCs w:val="24"/>
                <w:highlight w:val="none"/>
              </w:rPr>
              <w:t>物</w:t>
            </w:r>
          </w:p>
        </w:tc>
        <w:tc>
          <w:tcPr>
            <w:tcW w:w="4960" w:type="dxa"/>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工厂产生的固体废弃物的处理应符合GB 18599及相关标准的要求。工厂无法自行处理的，应将固体废弃物转交给具备相应能力和资质的处理厂进行处理。</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噪声</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工厂的厂界环境噪声排放应符合相关国家标准、行业标准及地方标准要求。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温室</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气体</w:t>
            </w:r>
          </w:p>
        </w:tc>
        <w:tc>
          <w:tcPr>
            <w:tcW w:w="4960" w:type="dxa"/>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工厂应采用GB/T 32150或适用的标准或规范对其厂界范围内的温室气体排放进行核算和报告。</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获得温室气体排放量第三方核查声明。</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核查结果对外公布。</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可行时，利用核算或核查结果对其温室气体的排放进行改善。</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绩效</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用地集约化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36132附录A计算工厂容积率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应不低于《工业项目建设用地控制指标》的要求。</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30%</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36132附录A计算工厂容积率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达到《工业项目建设用地控制指标》要求的1.2倍</w:t>
            </w:r>
            <w:r>
              <w:rPr>
                <w:rFonts w:hint="default" w:ascii="Times New Roman" w:hAnsi="Times New Roman" w:eastAsia="仿宋" w:cs="Times New Roman"/>
                <w:sz w:val="24"/>
                <w:szCs w:val="24"/>
                <w:highlight w:val="none"/>
                <w:lang w:eastAsia="zh-CN"/>
              </w:rPr>
              <w:t>及</w:t>
            </w:r>
            <w:r>
              <w:rPr>
                <w:rFonts w:hint="default" w:ascii="Times New Roman" w:hAnsi="Times New Roman" w:eastAsia="仿宋" w:cs="Times New Roman"/>
                <w:sz w:val="24"/>
                <w:szCs w:val="24"/>
                <w:highlight w:val="none"/>
              </w:rPr>
              <w:t>以上，2倍</w:t>
            </w:r>
            <w:r>
              <w:rPr>
                <w:rFonts w:hint="default" w:ascii="Times New Roman" w:hAnsi="Times New Roman" w:eastAsia="仿宋" w:cs="Times New Roman"/>
                <w:sz w:val="24"/>
                <w:szCs w:val="24"/>
                <w:highlight w:val="none"/>
                <w:lang w:eastAsia="zh-CN"/>
              </w:rPr>
              <w:t>及</w:t>
            </w:r>
            <w:r>
              <w:rPr>
                <w:rFonts w:hint="default" w:ascii="Times New Roman" w:hAnsi="Times New Roman" w:eastAsia="仿宋" w:cs="Times New Roman"/>
                <w:sz w:val="24"/>
                <w:szCs w:val="24"/>
                <w:highlight w:val="none"/>
              </w:rPr>
              <w:t>以上为满分。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36132附录A计算工厂建筑密度，建筑密度不低于30%。</w:t>
            </w:r>
          </w:p>
        </w:tc>
        <w:tc>
          <w:tcPr>
            <w:tcW w:w="2407" w:type="dxa"/>
            <w:gridSpan w:val="2"/>
            <w:vMerge w:val="restart"/>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36132附录A计算工厂建筑密度，建筑密度</w:t>
            </w:r>
            <w:r>
              <w:rPr>
                <w:rFonts w:hint="default" w:ascii="Times New Roman" w:hAnsi="Times New Roman" w:eastAsia="仿宋" w:cs="Times New Roman"/>
                <w:sz w:val="24"/>
                <w:szCs w:val="24"/>
                <w:highlight w:val="none"/>
                <w:lang w:eastAsia="zh-CN"/>
              </w:rPr>
              <w:t>达到</w:t>
            </w:r>
            <w:r>
              <w:rPr>
                <w:rFonts w:hint="default" w:ascii="Times New Roman" w:hAnsi="Times New Roman" w:eastAsia="仿宋" w:cs="Times New Roman"/>
                <w:sz w:val="24"/>
                <w:szCs w:val="24"/>
                <w:highlight w:val="none"/>
                <w:lang w:val="en-US" w:eastAsia="zh-CN"/>
              </w:rPr>
              <w:t>4</w:t>
            </w:r>
            <w:r>
              <w:rPr>
                <w:rFonts w:hint="default" w:ascii="Times New Roman" w:hAnsi="Times New Roman" w:eastAsia="仿宋" w:cs="Times New Roman"/>
                <w:sz w:val="24"/>
                <w:szCs w:val="24"/>
                <w:highlight w:val="none"/>
              </w:rPr>
              <w:t>0%。</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工厂的单位用地面积产能应不低于行业平均水平</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或：工厂的单位用地面积产值不低于地方发布的单位用地面积产值的要求；未发布单位用地面积产值的地区，单位用地面积产值应超过本年度所在省市的单位用地面积产值</w:t>
            </w:r>
            <w:r>
              <w:rPr>
                <w:rFonts w:hint="default" w:ascii="Times New Roman" w:hAnsi="Times New Roman" w:eastAsia="仿宋" w:cs="Times New Roman"/>
                <w:sz w:val="24"/>
                <w:szCs w:val="24"/>
                <w:highlight w:val="none"/>
                <w:lang w:eastAsia="zh-CN"/>
              </w:rPr>
              <w:t>。</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工厂的单位用地面积产能指标优于行业前20%</w:t>
            </w:r>
            <w:r>
              <w:rPr>
                <w:rFonts w:hint="default" w:ascii="Times New Roman" w:hAnsi="Times New Roman" w:eastAsia="仿宋" w:cs="Times New Roman"/>
                <w:sz w:val="24"/>
                <w:szCs w:val="24"/>
                <w:highlight w:val="none"/>
                <w:lang w:eastAsia="zh-CN"/>
              </w:rPr>
              <w:t>，前</w:t>
            </w:r>
            <w:r>
              <w:rPr>
                <w:rFonts w:hint="default" w:ascii="Times New Roman" w:hAnsi="Times New Roman" w:eastAsia="仿宋" w:cs="Times New Roman"/>
                <w:sz w:val="24"/>
                <w:szCs w:val="24"/>
                <w:highlight w:val="none"/>
                <w:lang w:val="en-US" w:eastAsia="zh-CN"/>
              </w:rPr>
              <w:t>5%为满分</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或：单位用地面积产值达到地方发布的单位用地面积产值的要求的1.</w:t>
            </w:r>
            <w:r>
              <w:rPr>
                <w:rFonts w:hint="default" w:ascii="Times New Roman" w:hAnsi="Times New Roman" w:eastAsia="仿宋" w:cs="Times New Roman"/>
                <w:sz w:val="24"/>
                <w:szCs w:val="24"/>
                <w:highlight w:val="none"/>
                <w:lang w:val="en-US" w:eastAsia="zh-CN"/>
              </w:rPr>
              <w:t>2</w:t>
            </w:r>
            <w:r>
              <w:rPr>
                <w:rFonts w:hint="default" w:ascii="Times New Roman" w:hAnsi="Times New Roman" w:eastAsia="仿宋" w:cs="Times New Roman"/>
                <w:sz w:val="24"/>
                <w:szCs w:val="24"/>
                <w:highlight w:val="none"/>
              </w:rPr>
              <w:t>倍及以上</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2倍为满分</w:t>
            </w:r>
            <w:r>
              <w:rPr>
                <w:rFonts w:hint="default" w:ascii="Times New Roman" w:hAnsi="Times New Roman" w:eastAsia="仿宋" w:cs="Times New Roman"/>
                <w:sz w:val="24"/>
                <w:szCs w:val="24"/>
                <w:highlight w:val="none"/>
              </w:rPr>
              <w:t>；未发布单位用地面积产值的地区，单位用地面积产值应达到本年度所在省市的单位用地面积产值1.2倍及以上</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2倍为满分</w:t>
            </w:r>
            <w:r>
              <w:rPr>
                <w:rFonts w:hint="default" w:ascii="Times New Roman" w:hAnsi="Times New Roman" w:eastAsia="仿宋" w:cs="Times New Roman"/>
                <w:sz w:val="24"/>
                <w:szCs w:val="24"/>
                <w:highlight w:val="none"/>
                <w:lang w:eastAsia="zh-CN"/>
              </w:rPr>
              <w:t>。</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原料无害化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36132附录A识别、统计和计算工厂的绿色物料使用情况。</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w:t>
            </w:r>
            <w:r>
              <w:rPr>
                <w:rFonts w:hint="default" w:ascii="Times New Roman" w:hAnsi="Times New Roman" w:eastAsia="仿宋" w:cs="Times New Roman"/>
                <w:sz w:val="24"/>
                <w:szCs w:val="24"/>
                <w:highlight w:val="none"/>
                <w:lang w:eastAsia="zh-CN"/>
              </w:rPr>
              <w:t>计算工厂主要物料的绿</w:t>
            </w:r>
            <w:r>
              <w:rPr>
                <w:rFonts w:hint="default" w:ascii="Times New Roman" w:hAnsi="Times New Roman" w:eastAsia="仿宋" w:cs="Times New Roman"/>
                <w:sz w:val="24"/>
                <w:szCs w:val="24"/>
                <w:highlight w:val="none"/>
              </w:rPr>
              <w:t>色物料使用率达30%及以上。</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生产洁净化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36132附录A计算单位产品主要污染物产生量（包括化学需氧量、氨氮、二氧化硫、氮氧化物等）</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36132附录A计算单位产品主要污染物产生量（包括化学需氧量、氨氮、二氧化硫、氮氧化物等）</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36132附录A计算单位产品废气产生量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36132附录A计算单位产品废气产生量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36132附录A计算单位产品废水产生量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36132附录A计算单位产品废水产生量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废物资源化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36132附录A计算单位产品主要原材料消耗量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36132附录A计算单位产品主要原材料消耗量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36132附录A计算工业固体废物综合利用率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应大于65%（根据行业特点，该指标可在±20%之间选取）。</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36132附录A计算工业固体废物综合利用率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达到73%（根据行业特点，该指标可在±20%之间选取），90%为满分。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36132附录A计算废水处理回用率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高于行业平均值。</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36132附录A计算废水处理回用率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能源低碳化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36132附录A计算单位产品综合能耗</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应符合相关国家、行业标准中的限额要求。未制定相关标准的，应达到行业平均水平。（装备、电子、电器等离散制造业可采用单位产值或单位工业增加值指标。）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36132附录A计算单位产品综合能耗</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达到相关国家、行业标准中的先进值要求。未制定相关标准的，应优于行业前20%水平。（装备、电子、电器等离散制造业可采用单位产值或单位工业增加值指标。）前5%为满分。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36132附录A计算单位产品碳排放量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应优于行业平均水平。（装备、电子、电器等离散制造业可采用单位产值或单位工业增加值指标。）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36132附录A计算单位产品碳排放量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748" w:hRule="atLeast"/>
        </w:trPr>
        <w:tc>
          <w:tcPr>
            <w:tcW w:w="2974" w:type="dxa"/>
            <w:gridSpan w:val="3"/>
            <w:vAlign w:val="center"/>
          </w:tcPr>
          <w:p>
            <w:pPr>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加分项</w:t>
            </w:r>
          </w:p>
        </w:tc>
        <w:tc>
          <w:tcPr>
            <w:tcW w:w="4960" w:type="dxa"/>
            <w:vAlign w:val="center"/>
          </w:tcPr>
          <w:p>
            <w:pPr>
              <w:jc w:val="center"/>
              <w:rPr>
                <w:rFonts w:hint="default"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“零碳”工厂创建方面开展的工作情况</w:t>
            </w:r>
          </w:p>
        </w:tc>
        <w:tc>
          <w:tcPr>
            <w:tcW w:w="2404" w:type="dxa"/>
            <w:vAlign w:val="center"/>
          </w:tcPr>
          <w:p>
            <w:pPr>
              <w:jc w:val="center"/>
              <w:rPr>
                <w:rFonts w:hint="eastAsia" w:ascii="Times New Roman" w:hAnsi="Times New Roman" w:eastAsia="仿宋" w:cs="Times New Roman"/>
                <w:color w:val="000000"/>
                <w:sz w:val="24"/>
                <w:szCs w:val="24"/>
                <w:highlight w:val="yellow"/>
                <w:lang w:eastAsia="zh-CN"/>
              </w:rPr>
            </w:pPr>
          </w:p>
        </w:tc>
        <w:tc>
          <w:tcPr>
            <w:tcW w:w="1278" w:type="dxa"/>
            <w:gridSpan w:val="2"/>
            <w:vAlign w:val="center"/>
          </w:tcPr>
          <w:p>
            <w:pPr>
              <w:jc w:val="center"/>
              <w:rPr>
                <w:rFonts w:hint="eastAsia" w:ascii="Times New Roman" w:hAnsi="Times New Roman" w:eastAsia="仿宋" w:cs="Times New Roman"/>
                <w:color w:val="000000"/>
                <w:sz w:val="24"/>
                <w:szCs w:val="24"/>
                <w:highlight w:val="yellow"/>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color w:val="000000"/>
                <w:sz w:val="24"/>
                <w:szCs w:val="24"/>
                <w:highlight w:val="none"/>
                <w:lang w:val="en-US" w:eastAsia="zh-CN"/>
              </w:rPr>
            </w:pPr>
            <w:r>
              <w:rPr>
                <w:rFonts w:hint="eastAsia" w:ascii="Times New Roman" w:hAnsi="Times New Roman" w:eastAsia="仿宋" w:cs="Times New Roman"/>
                <w:color w:val="000000"/>
                <w:sz w:val="24"/>
                <w:szCs w:val="24"/>
                <w:highlight w:val="none"/>
                <w:lang w:val="en-US" w:eastAsia="zh-CN"/>
              </w:rPr>
              <w:t>3</w:t>
            </w:r>
          </w:p>
        </w:tc>
        <w:tc>
          <w:tcPr>
            <w:tcW w:w="822" w:type="dxa"/>
            <w:vAlign w:val="center"/>
          </w:tcPr>
          <w:p>
            <w:pPr>
              <w:jc w:val="center"/>
              <w:rPr>
                <w:rFonts w:hint="default" w:ascii="Times New Roman" w:hAnsi="Times New Roman" w:eastAsia="仿宋" w:cs="Times New Roman"/>
                <w:color w:val="000000"/>
                <w:sz w:val="24"/>
                <w:szCs w:val="24"/>
                <w:highlight w:val="none"/>
                <w:lang w:val="en-US" w:eastAsia="zh-CN"/>
              </w:rPr>
            </w:pPr>
            <w:r>
              <w:rPr>
                <w:rFonts w:hint="eastAsia" w:ascii="Times New Roman" w:hAnsi="Times New Roman" w:eastAsia="仿宋" w:cs="Times New Roman"/>
                <w:color w:val="000000"/>
                <w:sz w:val="24"/>
                <w:szCs w:val="24"/>
                <w:highlight w:val="none"/>
                <w:lang w:val="en-US" w:eastAsia="zh-CN"/>
              </w:rPr>
              <w:t>100%</w:t>
            </w:r>
          </w:p>
        </w:tc>
        <w:tc>
          <w:tcPr>
            <w:tcW w:w="788" w:type="dxa"/>
            <w:vAlign w:val="center"/>
          </w:tcPr>
          <w:p>
            <w:pPr>
              <w:jc w:val="center"/>
              <w:rPr>
                <w:rFonts w:hint="eastAsia" w:ascii="Times New Roman" w:hAnsi="Times New Roman" w:eastAsia="仿宋" w:cs="Times New Roman"/>
                <w:color w:val="000000"/>
                <w:sz w:val="24"/>
                <w:szCs w:val="24"/>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13289" w:type="dxa"/>
            <w:gridSpan w:val="9"/>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总分</w:t>
            </w:r>
          </w:p>
        </w:tc>
        <w:tc>
          <w:tcPr>
            <w:tcW w:w="788" w:type="dxa"/>
            <w:vAlign w:val="center"/>
          </w:tcPr>
          <w:p>
            <w:pPr>
              <w:jc w:val="left"/>
              <w:rPr>
                <w:rFonts w:hint="default" w:ascii="Times New Roman" w:hAnsi="Times New Roman" w:eastAsia="仿宋" w:cs="Times New Roman"/>
                <w:color w:val="000000"/>
                <w:sz w:val="24"/>
                <w:szCs w:val="24"/>
                <w:highlight w:val="none"/>
              </w:rPr>
            </w:pPr>
          </w:p>
        </w:tc>
      </w:tr>
    </w:tbl>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注</w:t>
      </w:r>
      <w:r>
        <w:rPr>
          <w:rFonts w:hint="default" w:ascii="Times New Roman" w:hAnsi="Times New Roman" w:eastAsia="仿宋" w:cs="Times New Roman"/>
          <w:sz w:val="24"/>
          <w:szCs w:val="24"/>
          <w:highlight w:val="none"/>
          <w:lang w:val="en-US" w:eastAsia="zh-CN"/>
        </w:rPr>
        <w:t>1</w:t>
      </w:r>
      <w:r>
        <w:rPr>
          <w:rFonts w:hint="default" w:ascii="Times New Roman" w:hAnsi="Times New Roman" w:eastAsia="仿宋" w:cs="Times New Roman"/>
          <w:sz w:val="24"/>
          <w:szCs w:val="24"/>
          <w:highlight w:val="none"/>
          <w:lang w:eastAsia="zh-CN"/>
        </w:rPr>
        <w:t>：绿色工厂必须满足各项必选要求，可选要求按照受评工厂满足程度在</w:t>
      </w:r>
      <w:r>
        <w:rPr>
          <w:rFonts w:hint="default" w:ascii="Times New Roman" w:hAnsi="Times New Roman" w:eastAsia="仿宋" w:cs="Times New Roman"/>
          <w:sz w:val="24"/>
          <w:szCs w:val="24"/>
          <w:highlight w:val="none"/>
          <w:lang w:val="en-US" w:eastAsia="zh-CN"/>
        </w:rPr>
        <w:t>0分到满分中取值</w:t>
      </w:r>
      <w:r>
        <w:rPr>
          <w:rFonts w:hint="default" w:ascii="Times New Roman" w:hAnsi="Times New Roman" w:eastAsia="仿宋" w:cs="Times New Roman"/>
          <w:sz w:val="24"/>
          <w:szCs w:val="24"/>
          <w:highlight w:val="none"/>
          <w:lang w:eastAsia="zh-CN"/>
        </w:rPr>
        <w:t>。</w:t>
      </w:r>
    </w:p>
    <w:p>
      <w:pPr>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注2：凡符合“绿色工厂行业标准清单”的工厂，请根据清单中的标准自行设计该表格。</w:t>
      </w:r>
    </w:p>
    <w:p>
      <w:pPr>
        <w:rPr>
          <w:rFonts w:ascii="Times New Roman" w:hAnsi="Times New Roman" w:cs="Times New Roman"/>
          <w:highlight w:val="none"/>
        </w:rPr>
        <w:sectPr>
          <w:pgSz w:w="16838" w:h="11906" w:orient="landscape"/>
          <w:pgMar w:top="1800" w:right="1440" w:bottom="1800" w:left="1440" w:header="851" w:footer="992" w:gutter="0"/>
          <w:pgNumType w:fmt="decimal"/>
          <w:cols w:space="720" w:num="1"/>
          <w:docGrid w:type="lines" w:linePitch="312" w:charSpace="0"/>
        </w:sectPr>
      </w:pPr>
    </w:p>
    <w:p>
      <w:pPr>
        <w:outlineLvl w:val="1"/>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件5</w:t>
      </w:r>
    </w:p>
    <w:p>
      <w:pPr>
        <w:rPr>
          <w:rFonts w:hint="default" w:ascii="Times New Roman" w:hAnsi="Times New Roman" w:eastAsia="仿宋_GB2312" w:cs="Times New Roman"/>
          <w:sz w:val="32"/>
          <w:szCs w:val="32"/>
          <w:highlight w:val="none"/>
        </w:rPr>
      </w:pP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rPr>
          <w:rFonts w:hint="default" w:ascii="Times New Roman" w:hAnsi="Times New Roman" w:eastAsia="方正小标宋简体" w:cs="Times New Roman"/>
          <w:bCs/>
          <w:sz w:val="52"/>
          <w:szCs w:val="52"/>
          <w:highlight w:val="none"/>
        </w:rPr>
      </w:pPr>
    </w:p>
    <w:p>
      <w:pPr>
        <w:spacing w:line="360" w:lineRule="auto"/>
        <w:rPr>
          <w:rFonts w:hint="default" w:ascii="Times New Roman" w:hAnsi="Times New Roman" w:eastAsia="方正小标宋简体" w:cs="Times New Roman"/>
          <w:bCs/>
          <w:sz w:val="52"/>
          <w:szCs w:val="52"/>
          <w:highlight w:val="none"/>
        </w:rPr>
      </w:pPr>
    </w:p>
    <w:p>
      <w:pPr>
        <w:spacing w:line="360" w:lineRule="auto"/>
        <w:jc w:val="center"/>
        <w:outlineLvl w:val="1"/>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绿色工业园区</w:t>
      </w:r>
      <w:r>
        <w:rPr>
          <w:rFonts w:hint="eastAsia" w:ascii="Times New Roman" w:hAnsi="Times New Roman" w:eastAsia="黑体" w:cs="Times New Roman"/>
          <w:bCs/>
          <w:sz w:val="52"/>
          <w:szCs w:val="52"/>
          <w:highlight w:val="none"/>
          <w:lang w:eastAsia="zh-CN"/>
        </w:rPr>
        <w:t>第三方</w:t>
      </w:r>
      <w:r>
        <w:rPr>
          <w:rFonts w:hint="default" w:ascii="Times New Roman" w:hAnsi="Times New Roman" w:eastAsia="黑体" w:cs="Times New Roman"/>
          <w:bCs/>
          <w:sz w:val="52"/>
          <w:szCs w:val="52"/>
          <w:highlight w:val="none"/>
        </w:rPr>
        <w:t>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ind w:firstLine="800" w:firstLineChars="25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园  区   名  称：</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r>
        <w:rPr>
          <w:rFonts w:hint="eastAsia" w:ascii="Times New Roman" w:hAnsi="Times New Roman" w:eastAsia="仿宋" w:cs="Times New Roman"/>
          <w:sz w:val="32"/>
          <w:szCs w:val="32"/>
          <w:highlight w:val="none"/>
          <w:u w:val="single"/>
          <w:lang w:val="en-US" w:eastAsia="zh-CN"/>
        </w:rPr>
        <w:t xml:space="preserve">    </w:t>
      </w:r>
    </w:p>
    <w:p>
      <w:pPr>
        <w:spacing w:line="360" w:lineRule="auto"/>
        <w:rPr>
          <w:rFonts w:hint="default" w:ascii="Times New Roman" w:hAnsi="Times New Roman" w:eastAsia="仿宋" w:cs="Times New Roman"/>
          <w:sz w:val="32"/>
          <w:szCs w:val="32"/>
          <w:highlight w:val="none"/>
        </w:rPr>
      </w:pPr>
    </w:p>
    <w:p>
      <w:pPr>
        <w:spacing w:line="360" w:lineRule="auto"/>
        <w:ind w:firstLine="800" w:firstLineChars="25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第三方机构名称：</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r>
        <w:rPr>
          <w:rFonts w:hint="eastAsia" w:ascii="Times New Roman" w:hAnsi="Times New Roman" w:eastAsia="仿宋" w:cs="Times New Roman"/>
          <w:sz w:val="32"/>
          <w:szCs w:val="32"/>
          <w:highlight w:val="none"/>
          <w:u w:val="single"/>
          <w:lang w:val="en-US" w:eastAsia="zh-CN"/>
        </w:rPr>
        <w:t xml:space="preserve">    </w:t>
      </w:r>
    </w:p>
    <w:p>
      <w:pPr>
        <w:spacing w:line="360" w:lineRule="auto"/>
        <w:rPr>
          <w:rFonts w:hint="default" w:ascii="Times New Roman" w:hAnsi="Times New Roman" w:eastAsia="仿宋_GB2312" w:cs="Times New Roman"/>
          <w:sz w:val="32"/>
          <w:szCs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jc w:val="center"/>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工业和信息化部制</w:t>
      </w:r>
    </w:p>
    <w:p>
      <w:pPr>
        <w:jc w:val="center"/>
        <w:rPr>
          <w:rFonts w:hint="default" w:ascii="Times New Roman" w:hAnsi="Times New Roman" w:eastAsia="仿宋_GB2312" w:cs="Times New Roman"/>
          <w:sz w:val="30"/>
          <w:szCs w:val="30"/>
          <w:highlight w:val="none"/>
        </w:rPr>
      </w:pPr>
      <w:r>
        <w:rPr>
          <w:rFonts w:hint="default" w:ascii="Times New Roman" w:hAnsi="Times New Roman" w:eastAsia="仿宋" w:cs="Times New Roman"/>
          <w:sz w:val="30"/>
          <w:szCs w:val="30"/>
          <w:highlight w:val="none"/>
        </w:rPr>
        <w:t>20  年    月    日</w:t>
      </w:r>
    </w:p>
    <w:p>
      <w:pPr>
        <w:rPr>
          <w:rFonts w:hint="default" w:ascii="Times New Roman" w:hAnsi="Times New Roman" w:eastAsia="仿宋_GB2312" w:cs="Times New Roman"/>
          <w:sz w:val="32"/>
          <w:szCs w:val="32"/>
          <w:highlight w:val="none"/>
        </w:rPr>
        <w:sectPr>
          <w:type w:val="continuous"/>
          <w:pgSz w:w="11906" w:h="16838"/>
          <w:pgMar w:top="1440" w:right="1800" w:bottom="1440" w:left="1800" w:header="851" w:footer="992" w:gutter="0"/>
          <w:pgNumType w:fmt="decimal"/>
          <w:cols w:space="720" w:num="1"/>
          <w:docGrid w:type="lines" w:linePitch="312" w:charSpace="0"/>
        </w:sectPr>
      </w:pPr>
    </w:p>
    <w:p>
      <w:pPr>
        <w:spacing w:line="360" w:lineRule="auto"/>
        <w:jc w:val="center"/>
        <w:rPr>
          <w:rFonts w:hint="default" w:ascii="Times New Roman" w:hAnsi="Times New Roman" w:eastAsia="仿宋_GB2312" w:cs="Times New Roman"/>
          <w:sz w:val="28"/>
          <w:szCs w:val="28"/>
          <w:highlight w:val="none"/>
        </w:rPr>
      </w:pPr>
      <w:r>
        <w:rPr>
          <w:rFonts w:hint="default" w:ascii="Times New Roman" w:hAnsi="Times New Roman" w:eastAsia="黑体" w:cs="Times New Roman"/>
          <w:bCs/>
          <w:sz w:val="32"/>
          <w:szCs w:val="32"/>
          <w:highlight w:val="none"/>
        </w:rPr>
        <w:t>基本信息表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6"/>
        <w:gridCol w:w="1975"/>
        <w:gridCol w:w="63"/>
        <w:gridCol w:w="292"/>
        <w:gridCol w:w="1620"/>
        <w:gridCol w:w="455"/>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7"/>
            <w:vAlign w:val="center"/>
          </w:tcPr>
          <w:p>
            <w:pPr>
              <w:spacing w:line="360" w:lineRule="auto"/>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color w:val="000000"/>
                <w:kern w:val="0"/>
                <w:sz w:val="24"/>
                <w:highlight w:val="none"/>
              </w:rPr>
              <w:t>一、园区基本信息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kern w:val="0"/>
                <w:sz w:val="24"/>
                <w:szCs w:val="24"/>
                <w:highlight w:val="none"/>
              </w:rPr>
              <w:t>园区名称</w:t>
            </w:r>
          </w:p>
        </w:tc>
        <w:tc>
          <w:tcPr>
            <w:tcW w:w="5926" w:type="dxa"/>
            <w:gridSpan w:val="6"/>
            <w:vAlign w:val="top"/>
          </w:tcPr>
          <w:p>
            <w:pPr>
              <w:spacing w:line="360" w:lineRule="auto"/>
              <w:jc w:val="center"/>
              <w:rPr>
                <w:rFonts w:hint="default" w:ascii="Times New Roman" w:hAnsi="Times New Roman" w:eastAsia="仿宋" w:cs="Times New Roman"/>
                <w:b/>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园区级别</w:t>
            </w:r>
          </w:p>
        </w:tc>
        <w:tc>
          <w:tcPr>
            <w:tcW w:w="2330" w:type="dxa"/>
            <w:gridSpan w:val="3"/>
            <w:vAlign w:val="center"/>
          </w:tcPr>
          <w:p>
            <w:pPr>
              <w:pStyle w:val="17"/>
              <w:numPr>
                <w:ilvl w:val="0"/>
                <w:numId w:val="0"/>
              </w:numPr>
              <w:spacing w:line="360" w:lineRule="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 xml:space="preserve">□ 国家级 □ 省级    </w:t>
            </w:r>
          </w:p>
        </w:tc>
        <w:tc>
          <w:tcPr>
            <w:tcW w:w="2075" w:type="dxa"/>
            <w:gridSpan w:val="2"/>
            <w:vAlign w:val="center"/>
          </w:tcPr>
          <w:p>
            <w:pPr>
              <w:pStyle w:val="17"/>
              <w:numPr>
                <w:ilvl w:val="0"/>
                <w:numId w:val="0"/>
              </w:numPr>
              <w:spacing w:line="360" w:lineRule="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园区内企业数量</w:t>
            </w:r>
          </w:p>
        </w:tc>
        <w:tc>
          <w:tcPr>
            <w:tcW w:w="1521" w:type="dxa"/>
            <w:vAlign w:val="center"/>
          </w:tcPr>
          <w:p>
            <w:pPr>
              <w:pStyle w:val="17"/>
              <w:numPr>
                <w:ilvl w:val="0"/>
                <w:numId w:val="0"/>
              </w:numPr>
              <w:spacing w:line="360" w:lineRule="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 xml:space="preserve">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园区地址</w:t>
            </w:r>
          </w:p>
        </w:tc>
        <w:tc>
          <w:tcPr>
            <w:tcW w:w="5926" w:type="dxa"/>
            <w:gridSpan w:val="6"/>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lang w:val="en-US"/>
              </w:rPr>
              <w:t>申报单位</w:t>
            </w:r>
            <w:r>
              <w:rPr>
                <w:rFonts w:hint="default" w:ascii="Times New Roman" w:hAnsi="Times New Roman" w:eastAsia="仿宋" w:cs="Times New Roman"/>
                <w:sz w:val="24"/>
                <w:szCs w:val="24"/>
                <w:highlight w:val="none"/>
              </w:rPr>
              <w:t>联系人</w:t>
            </w:r>
          </w:p>
        </w:tc>
        <w:tc>
          <w:tcPr>
            <w:tcW w:w="1975" w:type="dxa"/>
            <w:vAlign w:val="center"/>
          </w:tcPr>
          <w:p>
            <w:pPr>
              <w:spacing w:line="360" w:lineRule="auto"/>
              <w:rPr>
                <w:rFonts w:hint="default" w:ascii="Times New Roman" w:hAnsi="Times New Roman" w:eastAsia="仿宋" w:cs="Times New Roman"/>
                <w:kern w:val="0"/>
                <w:sz w:val="24"/>
                <w:szCs w:val="24"/>
                <w:highlight w:val="none"/>
              </w:rPr>
            </w:pPr>
          </w:p>
        </w:tc>
        <w:tc>
          <w:tcPr>
            <w:tcW w:w="1975" w:type="dxa"/>
            <w:gridSpan w:val="3"/>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职务</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联系电话</w:t>
            </w:r>
          </w:p>
        </w:tc>
        <w:tc>
          <w:tcPr>
            <w:tcW w:w="1975" w:type="dxa"/>
            <w:vAlign w:val="center"/>
          </w:tcPr>
          <w:p>
            <w:pPr>
              <w:spacing w:line="360" w:lineRule="auto"/>
              <w:rPr>
                <w:rFonts w:hint="default" w:ascii="Times New Roman" w:hAnsi="Times New Roman" w:eastAsia="仿宋" w:cs="Times New Roman"/>
                <w:kern w:val="0"/>
                <w:sz w:val="24"/>
                <w:szCs w:val="24"/>
                <w:highlight w:val="none"/>
              </w:rPr>
            </w:pPr>
          </w:p>
        </w:tc>
        <w:tc>
          <w:tcPr>
            <w:tcW w:w="1975" w:type="dxa"/>
            <w:gridSpan w:val="3"/>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电子邮箱</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园区内绿色工厂数量</w:t>
            </w:r>
          </w:p>
        </w:tc>
        <w:tc>
          <w:tcPr>
            <w:tcW w:w="5926" w:type="dxa"/>
            <w:gridSpan w:val="6"/>
            <w:vAlign w:val="center"/>
          </w:tcPr>
          <w:p>
            <w:pPr>
              <w:spacing w:line="360" w:lineRule="auto"/>
              <w:jc w:val="center"/>
              <w:rPr>
                <w:rFonts w:hint="default" w:ascii="Times New Roman" w:hAnsi="Times New Roman" w:eastAsia="仿宋" w:cs="Times New Roman"/>
                <w:kern w:val="0"/>
                <w:sz w:val="24"/>
                <w:szCs w:val="24"/>
                <w:highlight w:val="none"/>
                <w:u w:val="single"/>
                <w:lang w:val="en-US" w:eastAsia="zh-CN"/>
              </w:rPr>
            </w:pPr>
            <w:r>
              <w:rPr>
                <w:rFonts w:hint="eastAsia" w:ascii="Times New Roman" w:hAnsi="Times New Roman" w:eastAsia="仿宋" w:cs="Times New Roman"/>
                <w:kern w:val="0"/>
                <w:sz w:val="24"/>
                <w:szCs w:val="24"/>
                <w:highlight w:val="none"/>
                <w:lang w:val="en-US" w:eastAsia="zh-CN"/>
              </w:rPr>
              <w:t>国家：</w:t>
            </w:r>
            <w:r>
              <w:rPr>
                <w:rFonts w:hint="eastAsia" w:ascii="Times New Roman" w:hAnsi="Times New Roman" w:eastAsia="仿宋" w:cs="Times New Roman"/>
                <w:kern w:val="0"/>
                <w:sz w:val="24"/>
                <w:szCs w:val="24"/>
                <w:highlight w:val="none"/>
                <w:u w:val="single"/>
                <w:lang w:val="en-US" w:eastAsia="zh-CN"/>
              </w:rPr>
              <w:t xml:space="preserve">       </w:t>
            </w:r>
            <w:r>
              <w:rPr>
                <w:rFonts w:hint="eastAsia" w:ascii="Times New Roman" w:hAnsi="Times New Roman" w:eastAsia="仿宋" w:cs="Times New Roman"/>
                <w:kern w:val="0"/>
                <w:sz w:val="24"/>
                <w:szCs w:val="24"/>
                <w:highlight w:val="none"/>
                <w:u w:val="none"/>
                <w:lang w:val="en-US" w:eastAsia="zh-CN"/>
              </w:rPr>
              <w:t>省：</w:t>
            </w:r>
            <w:r>
              <w:rPr>
                <w:rFonts w:hint="eastAsia" w:ascii="Times New Roman" w:hAnsi="Times New Roman" w:eastAsia="仿宋" w:cs="Times New Roman"/>
                <w:kern w:val="0"/>
                <w:sz w:val="24"/>
                <w:szCs w:val="24"/>
                <w:highlight w:val="none"/>
                <w:u w:val="single"/>
                <w:lang w:val="en-US" w:eastAsia="zh-CN"/>
              </w:rPr>
              <w:t xml:space="preserve">         </w:t>
            </w:r>
            <w:r>
              <w:rPr>
                <w:rFonts w:hint="eastAsia" w:ascii="Times New Roman" w:hAnsi="Times New Roman" w:eastAsia="仿宋" w:cs="Times New Roman"/>
                <w:kern w:val="0"/>
                <w:sz w:val="24"/>
                <w:szCs w:val="24"/>
                <w:highlight w:val="none"/>
                <w:u w:val="none"/>
                <w:lang w:val="en-US" w:eastAsia="zh-CN"/>
              </w:rPr>
              <w:t>市：</w:t>
            </w:r>
            <w:r>
              <w:rPr>
                <w:rFonts w:hint="eastAsia" w:ascii="Times New Roman" w:hAnsi="Times New Roman" w:eastAsia="仿宋" w:cs="Times New Roman"/>
                <w:kern w:val="0"/>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7"/>
            <w:tcBorders>
              <w:bottom w:val="nil"/>
            </w:tcBorders>
            <w:vAlign w:val="top"/>
          </w:tcPr>
          <w:p>
            <w:pPr>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第三方机构名称</w:t>
            </w:r>
          </w:p>
        </w:tc>
        <w:tc>
          <w:tcPr>
            <w:tcW w:w="5926" w:type="dxa"/>
            <w:gridSpan w:val="6"/>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第三方机构地址</w:t>
            </w:r>
          </w:p>
        </w:tc>
        <w:tc>
          <w:tcPr>
            <w:tcW w:w="5926" w:type="dxa"/>
            <w:gridSpan w:val="6"/>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机构法定代表人</w:t>
            </w:r>
          </w:p>
        </w:tc>
        <w:tc>
          <w:tcPr>
            <w:tcW w:w="2038"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gridSpan w:val="2"/>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color w:val="000000"/>
                <w:kern w:val="0"/>
                <w:sz w:val="24"/>
                <w:highlight w:val="none"/>
              </w:rPr>
              <w:t>法定代表人</w:t>
            </w:r>
            <w:r>
              <w:rPr>
                <w:rFonts w:hint="default" w:ascii="Times New Roman" w:hAnsi="Times New Roman" w:eastAsia="仿宋" w:cs="Times New Roman"/>
                <w:kern w:val="0"/>
                <w:sz w:val="24"/>
                <w:szCs w:val="24"/>
                <w:highlight w:val="none"/>
              </w:rPr>
              <w:t>电话</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机构联系人</w:t>
            </w:r>
          </w:p>
        </w:tc>
        <w:tc>
          <w:tcPr>
            <w:tcW w:w="2038"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gridSpan w:val="2"/>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联系人电话</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报告编制负责人</w:t>
            </w:r>
          </w:p>
        </w:tc>
        <w:tc>
          <w:tcPr>
            <w:tcW w:w="2038"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gridSpan w:val="2"/>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负责人电话</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7"/>
            <w:vAlign w:val="top"/>
          </w:tcPr>
          <w:p>
            <w:pPr>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b/>
                <w:bCs/>
                <w:kern w:val="0"/>
                <w:sz w:val="24"/>
                <w:szCs w:val="24"/>
                <w:highlight w:val="none"/>
              </w:rPr>
              <w:t>三、绿色工业园区评价结果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基本要求</w:t>
            </w:r>
          </w:p>
        </w:tc>
        <w:tc>
          <w:tcPr>
            <w:tcW w:w="2038" w:type="dxa"/>
            <w:gridSpan w:val="2"/>
            <w:vAlign w:val="top"/>
          </w:tcPr>
          <w:p>
            <w:pPr>
              <w:spacing w:line="36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□符合  □不符合</w:t>
            </w:r>
          </w:p>
        </w:tc>
        <w:tc>
          <w:tcPr>
            <w:tcW w:w="1912" w:type="dxa"/>
            <w:gridSpan w:val="2"/>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近三年平均得分</w:t>
            </w:r>
          </w:p>
        </w:tc>
        <w:tc>
          <w:tcPr>
            <w:tcW w:w="1976" w:type="dxa"/>
            <w:gridSpan w:val="2"/>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restart"/>
            <w:vAlign w:val="center"/>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近三年</w:t>
            </w:r>
            <w:r>
              <w:rPr>
                <w:rFonts w:hint="default" w:ascii="Times New Roman" w:hAnsi="Times New Roman" w:eastAsia="仿宋" w:cs="Times New Roman"/>
                <w:sz w:val="24"/>
                <w:highlight w:val="none"/>
              </w:rPr>
              <w:t>工业园区绿色指数</w:t>
            </w:r>
            <w:r>
              <w:rPr>
                <w:rFonts w:hint="default" w:ascii="Times New Roman" w:hAnsi="Times New Roman" w:eastAsia="仿宋" w:cs="Times New Roman"/>
                <w:sz w:val="24"/>
                <w:szCs w:val="24"/>
                <w:highlight w:val="none"/>
              </w:rPr>
              <w:t>情况</w:t>
            </w:r>
          </w:p>
        </w:tc>
        <w:tc>
          <w:tcPr>
            <w:tcW w:w="2038" w:type="dxa"/>
            <w:gridSpan w:val="2"/>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第1年</w:t>
            </w:r>
          </w:p>
        </w:tc>
        <w:tc>
          <w:tcPr>
            <w:tcW w:w="3888" w:type="dxa"/>
            <w:gridSpan w:val="4"/>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continue"/>
            <w:vAlign w:val="top"/>
          </w:tcPr>
          <w:p>
            <w:pPr>
              <w:spacing w:line="360" w:lineRule="auto"/>
              <w:jc w:val="center"/>
              <w:rPr>
                <w:rFonts w:hint="default" w:ascii="Times New Roman" w:hAnsi="Times New Roman" w:eastAsia="仿宋" w:cs="Times New Roman"/>
                <w:sz w:val="24"/>
                <w:szCs w:val="24"/>
                <w:highlight w:val="none"/>
              </w:rPr>
            </w:pPr>
          </w:p>
        </w:tc>
        <w:tc>
          <w:tcPr>
            <w:tcW w:w="2038" w:type="dxa"/>
            <w:gridSpan w:val="2"/>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第2年</w:t>
            </w:r>
          </w:p>
        </w:tc>
        <w:tc>
          <w:tcPr>
            <w:tcW w:w="3888" w:type="dxa"/>
            <w:gridSpan w:val="4"/>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continue"/>
            <w:vAlign w:val="top"/>
          </w:tcPr>
          <w:p>
            <w:pPr>
              <w:spacing w:line="360" w:lineRule="auto"/>
              <w:jc w:val="center"/>
              <w:rPr>
                <w:rFonts w:hint="default" w:ascii="Times New Roman" w:hAnsi="Times New Roman" w:eastAsia="仿宋" w:cs="Times New Roman"/>
                <w:sz w:val="24"/>
                <w:szCs w:val="24"/>
                <w:highlight w:val="none"/>
              </w:rPr>
            </w:pPr>
          </w:p>
        </w:tc>
        <w:tc>
          <w:tcPr>
            <w:tcW w:w="2038" w:type="dxa"/>
            <w:gridSpan w:val="2"/>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第3年</w:t>
            </w:r>
          </w:p>
        </w:tc>
        <w:tc>
          <w:tcPr>
            <w:tcW w:w="3888" w:type="dxa"/>
            <w:gridSpan w:val="4"/>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596" w:type="dxa"/>
            <w:vAlign w:val="top"/>
          </w:tcPr>
          <w:p>
            <w:pPr>
              <w:spacing w:line="360" w:lineRule="auto"/>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kern w:val="0"/>
                <w:sz w:val="24"/>
                <w:highlight w:val="none"/>
                <w:lang w:val="en-US" w:eastAsia="zh-CN"/>
              </w:rPr>
              <w:t>亮点</w:t>
            </w:r>
          </w:p>
        </w:tc>
        <w:tc>
          <w:tcPr>
            <w:tcW w:w="5926" w:type="dxa"/>
            <w:gridSpan w:val="6"/>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Borders>
              <w:top w:val="nil"/>
            </w:tcBorders>
            <w:vAlign w:val="top"/>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结论证据充分，真实、准确的反映了评价过程的发现，严谨的出具结论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ind w:firstLine="4802" w:firstLineChars="2000"/>
              <w:rPr>
                <w:rFonts w:ascii="Times New Roman" w:hAnsi="Times New Roman"/>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spacing w:line="360" w:lineRule="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color w:val="000000"/>
                <w:kern w:val="0"/>
                <w:sz w:val="24"/>
                <w:highlight w:val="none"/>
              </w:rPr>
              <w:t xml:space="preserve"> </w:t>
            </w:r>
          </w:p>
        </w:tc>
      </w:tr>
    </w:tbl>
    <w:p>
      <w:pPr>
        <w:keepNext w:val="0"/>
        <w:keepLines w:val="0"/>
        <w:pageBreakBefore w:val="0"/>
        <w:widowControl w:val="0"/>
        <w:kinsoku/>
        <w:wordWrap/>
        <w:overflowPunct/>
        <w:topLinePunct w:val="0"/>
        <w:autoSpaceDE/>
        <w:autoSpaceDN/>
        <w:bidi w:val="0"/>
        <w:adjustRightInd/>
        <w:snapToGrid w:val="0"/>
        <w:spacing w:before="313" w:beforeLines="100" w:line="480" w:lineRule="auto"/>
        <w:ind w:left="0" w:leftChars="0" w:right="0" w:rightChars="0" w:firstLine="0" w:firstLineChars="0"/>
        <w:jc w:val="center"/>
        <w:textAlignment w:val="auto"/>
        <w:outlineLvl w:val="9"/>
        <w:rPr>
          <w:rFonts w:hint="default" w:ascii="Times New Roman" w:hAnsi="Times New Roman" w:eastAsia="黑体" w:cs="Times New Roman"/>
          <w:bCs/>
          <w:color w:val="000000"/>
          <w:sz w:val="36"/>
          <w:highlight w:val="none"/>
        </w:rPr>
      </w:pPr>
      <w:r>
        <w:rPr>
          <w:rFonts w:hint="default" w:ascii="Times New Roman" w:hAnsi="Times New Roman" w:eastAsia="黑体" w:cs="Times New Roman"/>
          <w:bCs/>
          <w:color w:val="000000"/>
          <w:sz w:val="36"/>
          <w:highlight w:val="none"/>
        </w:rPr>
        <w:t>绿色</w:t>
      </w:r>
      <w:r>
        <w:rPr>
          <w:rFonts w:hint="default" w:ascii="Times New Roman" w:hAnsi="Times New Roman" w:eastAsia="黑体" w:cs="Times New Roman"/>
          <w:bCs/>
          <w:sz w:val="36"/>
          <w:szCs w:val="36"/>
          <w:highlight w:val="none"/>
        </w:rPr>
        <w:t>工业</w:t>
      </w:r>
      <w:r>
        <w:rPr>
          <w:rFonts w:hint="default" w:ascii="Times New Roman" w:hAnsi="Times New Roman" w:eastAsia="黑体" w:cs="Times New Roman"/>
          <w:bCs/>
          <w:color w:val="000000"/>
          <w:sz w:val="36"/>
          <w:highlight w:val="none"/>
        </w:rPr>
        <w:t>园区评价报告（格式）</w:t>
      </w:r>
    </w:p>
    <w:p>
      <w:pPr>
        <w:snapToGrid w:val="0"/>
        <w:spacing w:line="360" w:lineRule="auto"/>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w:t>
      </w:r>
      <w:r>
        <w:rPr>
          <w:rFonts w:hint="eastAsia" w:ascii="Times New Roman" w:hAnsi="Times New Roman" w:eastAsia="黑体" w:cs="Times New Roman"/>
          <w:bCs/>
          <w:sz w:val="32"/>
          <w:szCs w:val="32"/>
          <w:highlight w:val="none"/>
          <w:lang w:val="en-US" w:eastAsia="zh-CN"/>
        </w:rPr>
        <w:t>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主要介绍绿色</w:t>
      </w:r>
      <w:r>
        <w:rPr>
          <w:rFonts w:hint="default" w:ascii="Times New Roman" w:hAnsi="Times New Roman" w:eastAsia="仿宋" w:cs="Times New Roman"/>
          <w:sz w:val="30"/>
          <w:szCs w:val="30"/>
          <w:highlight w:val="none"/>
          <w:lang w:val="en-US" w:eastAsia="zh-CN"/>
        </w:rPr>
        <w:t>工业园区</w:t>
      </w:r>
      <w:r>
        <w:rPr>
          <w:rFonts w:hint="default" w:ascii="Times New Roman" w:hAnsi="Times New Roman" w:eastAsia="仿宋" w:cs="Times New Roman"/>
          <w:sz w:val="30"/>
          <w:szCs w:val="30"/>
          <w:highlight w:val="none"/>
        </w:rPr>
        <w:t>评价的目的、范围及准则</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受评价方的基本情况</w:t>
      </w:r>
      <w:r>
        <w:rPr>
          <w:rFonts w:hint="eastAsia" w:ascii="Times New Roman" w:hAnsi="Times New Roman" w:eastAsia="仿宋" w:cs="Times New Roman"/>
          <w:sz w:val="30"/>
          <w:szCs w:val="30"/>
          <w:highlight w:val="none"/>
          <w:lang w:val="en-US" w:eastAsia="zh-CN"/>
        </w:rPr>
        <w:t>（</w:t>
      </w:r>
      <w:r>
        <w:rPr>
          <w:rFonts w:hint="eastAsia" w:ascii="Times New Roman" w:hAnsi="Times New Roman" w:eastAsia="仿宋" w:cs="Times New Roman"/>
          <w:sz w:val="30"/>
          <w:szCs w:val="30"/>
          <w:highlight w:val="none"/>
        </w:rPr>
        <w:t>基本信息、功能区划、产业发展现状以及在绿色发展方面开展的重点工作及取得的成绩</w:t>
      </w:r>
      <w:r>
        <w:rPr>
          <w:rFonts w:hint="eastAsia" w:ascii="Times New Roman" w:hAnsi="Times New Roman" w:eastAsia="仿宋" w:cs="Times New Roman"/>
          <w:sz w:val="30"/>
          <w:szCs w:val="30"/>
          <w:highlight w:val="none"/>
          <w:lang w:val="en-US" w:eastAsia="zh-CN"/>
        </w:rPr>
        <w:t>）</w:t>
      </w:r>
      <w:r>
        <w:rPr>
          <w:rFonts w:hint="default" w:ascii="Times New Roman" w:hAnsi="Times New Roman" w:eastAsia="仿宋" w:cs="Times New Roman"/>
          <w:sz w:val="30"/>
          <w:szCs w:val="30"/>
          <w:highlight w:val="none"/>
          <w:lang w:val="en-US" w:eastAsia="zh-CN"/>
        </w:rPr>
        <w:t>等</w:t>
      </w:r>
      <w:r>
        <w:rPr>
          <w:rFonts w:hint="default" w:ascii="Times New Roman" w:hAnsi="Times New Roman" w:eastAsia="仿宋" w:cs="Times New Roman"/>
          <w:sz w:val="30"/>
          <w:szCs w:val="30"/>
          <w:highlight w:val="none"/>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二、评价过程和方法</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rPr>
        <w:t>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w:t>
      </w:r>
      <w:r>
        <w:rPr>
          <w:rFonts w:hint="eastAsia" w:ascii="Times New Roman" w:hAnsi="Times New Roman" w:eastAsia="仿宋" w:cs="Times New Roman"/>
          <w:sz w:val="30"/>
          <w:szCs w:val="30"/>
          <w:highlight w:val="none"/>
          <w:lang w:val="en-US" w:eastAsia="zh-CN"/>
        </w:rPr>
        <w:t>机构</w:t>
      </w:r>
      <w:r>
        <w:rPr>
          <w:rFonts w:hint="default" w:ascii="Times New Roman" w:hAnsi="Times New Roman" w:eastAsia="仿宋" w:cs="Times New Roman"/>
          <w:sz w:val="30"/>
          <w:szCs w:val="30"/>
          <w:highlight w:val="none"/>
        </w:rPr>
        <w:t>应按以下内容对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进行评价：</w:t>
      </w:r>
    </w:p>
    <w:p>
      <w:pPr>
        <w:numPr>
          <w:ilvl w:val="0"/>
          <w:numId w:val="0"/>
        </w:numPr>
        <w:ind w:left="0" w:firstLine="600" w:firstLineChars="20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val="en-US" w:eastAsia="zh-CN"/>
        </w:rPr>
        <w:t>1</w:t>
      </w:r>
      <w:r>
        <w:rPr>
          <w:rFonts w:hint="eastAsia" w:ascii="Times New Roman" w:hAnsi="Times New Roman" w:eastAsia="仿宋" w:cs="Times New Roman"/>
          <w:sz w:val="30"/>
          <w:szCs w:val="30"/>
          <w:highlight w:val="none"/>
          <w:lang w:val="en-US" w:eastAsia="zh-CN"/>
        </w:rPr>
        <w:t>.对园区是否存在</w:t>
      </w:r>
      <w:r>
        <w:rPr>
          <w:rFonts w:hint="eastAsia" w:ascii="Times New Roman" w:hAnsi="Times New Roman" w:eastAsia="仿宋" w:cs="Times New Roman"/>
          <w:sz w:val="30"/>
          <w:szCs w:val="30"/>
          <w:highlight w:val="none"/>
        </w:rPr>
        <w:t>《绿色工厂梯度培育及管理暂行办法》</w:t>
      </w:r>
      <w:r>
        <w:rPr>
          <w:rFonts w:hint="eastAsia" w:ascii="Times New Roman" w:hAnsi="Times New Roman" w:eastAsia="仿宋" w:cs="Times New Roman"/>
          <w:sz w:val="30"/>
          <w:szCs w:val="30"/>
          <w:highlight w:val="none"/>
          <w:lang w:val="en-US" w:eastAsia="zh-CN"/>
        </w:rPr>
        <w:t>中所列</w:t>
      </w:r>
      <w:r>
        <w:rPr>
          <w:rFonts w:hint="default" w:ascii="Times New Roman" w:hAnsi="Times New Roman" w:eastAsia="仿宋" w:cs="Times New Roman"/>
          <w:sz w:val="30"/>
          <w:szCs w:val="30"/>
          <w:highlight w:val="none"/>
        </w:rPr>
        <w:t>否决条件</w:t>
      </w:r>
      <w:r>
        <w:rPr>
          <w:rFonts w:hint="eastAsia" w:ascii="Times New Roman" w:hAnsi="Times New Roman" w:eastAsia="仿宋" w:cs="Times New Roman"/>
          <w:sz w:val="30"/>
          <w:szCs w:val="30"/>
          <w:highlight w:val="none"/>
          <w:lang w:val="en-US" w:eastAsia="zh-CN"/>
        </w:rPr>
        <w:t>的评价情况；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lang w:val="en-US" w:eastAsia="zh-CN"/>
        </w:rPr>
        <w:t>对园区</w:t>
      </w:r>
      <w:r>
        <w:rPr>
          <w:rFonts w:hint="eastAsia" w:ascii="Times New Roman" w:hAnsi="Times New Roman" w:eastAsia="仿宋" w:cs="Times New Roman"/>
          <w:sz w:val="30"/>
          <w:szCs w:val="30"/>
          <w:highlight w:val="none"/>
          <w:lang w:val="en-US" w:eastAsia="zh-CN"/>
        </w:rPr>
        <w:t>是否符合《</w:t>
      </w:r>
      <w:r>
        <w:rPr>
          <w:rFonts w:hint="eastAsia" w:ascii="Times New Roman" w:hAnsi="Times New Roman" w:eastAsia="仿宋" w:cs="Times New Roman"/>
          <w:bCs w:val="0"/>
          <w:sz w:val="30"/>
          <w:szCs w:val="30"/>
          <w:highlight w:val="none"/>
        </w:rPr>
        <w:t>绿色</w:t>
      </w:r>
      <w:r>
        <w:rPr>
          <w:rFonts w:hint="eastAsia" w:ascii="Times New Roman" w:hAnsi="Times New Roman" w:eastAsia="仿宋" w:cs="Times New Roman"/>
          <w:bCs w:val="0"/>
          <w:sz w:val="30"/>
          <w:szCs w:val="30"/>
          <w:highlight w:val="none"/>
          <w:lang w:val="en-US"/>
        </w:rPr>
        <w:t>工业</w:t>
      </w:r>
      <w:r>
        <w:rPr>
          <w:rFonts w:hint="eastAsia" w:ascii="Times New Roman" w:hAnsi="Times New Roman" w:eastAsia="仿宋" w:cs="Times New Roman"/>
          <w:bCs w:val="0"/>
          <w:sz w:val="30"/>
          <w:szCs w:val="30"/>
          <w:highlight w:val="none"/>
        </w:rPr>
        <w:t>园区评价要求</w:t>
      </w:r>
      <w:r>
        <w:rPr>
          <w:rFonts w:hint="eastAsia" w:ascii="Times New Roman" w:hAnsi="Times New Roman" w:eastAsia="仿宋" w:cs="Times New Roman"/>
          <w:bCs w:val="0"/>
          <w:sz w:val="30"/>
          <w:szCs w:val="30"/>
          <w:highlight w:val="none"/>
          <w:lang w:eastAsia="zh-CN"/>
        </w:rPr>
        <w:t>》</w:t>
      </w:r>
      <w:r>
        <w:rPr>
          <w:rFonts w:hint="eastAsia" w:ascii="Times New Roman" w:hAnsi="Times New Roman" w:eastAsia="仿宋" w:cs="Times New Roman"/>
          <w:bCs w:val="0"/>
          <w:sz w:val="30"/>
          <w:szCs w:val="30"/>
          <w:highlight w:val="none"/>
          <w:lang w:val="en-US" w:eastAsia="zh-CN"/>
        </w:rPr>
        <w:t>中</w:t>
      </w:r>
      <w:r>
        <w:rPr>
          <w:rFonts w:hint="default" w:ascii="Times New Roman" w:hAnsi="Times New Roman" w:eastAsia="仿宋" w:cs="Times New Roman"/>
          <w:sz w:val="30"/>
          <w:szCs w:val="30"/>
          <w:highlight w:val="none"/>
          <w:lang w:val="en-US" w:eastAsia="zh-CN"/>
        </w:rPr>
        <w:t>基本要求的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lang w:val="en-US" w:eastAsia="zh-CN"/>
        </w:rPr>
        <w:t>3.</w:t>
      </w: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能源利用、资源利用、基础设施、产业、生态环境、运行管理等方面内容</w:t>
      </w:r>
      <w:r>
        <w:rPr>
          <w:rFonts w:hint="default" w:ascii="Times New Roman" w:hAnsi="Times New Roman" w:eastAsia="仿宋" w:cs="Times New Roman"/>
          <w:sz w:val="30"/>
          <w:szCs w:val="30"/>
          <w:highlight w:val="none"/>
          <w:lang w:val="en-US" w:eastAsia="zh-CN"/>
        </w:rPr>
        <w:t>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r>
        <w:rPr>
          <w:rFonts w:hint="eastAsia" w:ascii="Times New Roman" w:hAnsi="Times New Roman" w:eastAsia="仿宋" w:cs="Times New Roman"/>
          <w:sz w:val="30"/>
          <w:szCs w:val="30"/>
          <w:highlight w:val="none"/>
          <w:lang w:val="en-US" w:eastAsia="zh-CN"/>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是否符合绿色</w:t>
      </w:r>
      <w:r>
        <w:rPr>
          <w:rFonts w:hint="eastAsia" w:ascii="Times New Roman" w:hAnsi="Times New Roman" w:eastAsia="仿宋" w:cs="Times New Roman"/>
          <w:sz w:val="30"/>
          <w:szCs w:val="30"/>
          <w:highlight w:val="none"/>
          <w:lang w:val="en-US" w:eastAsia="zh-CN"/>
        </w:rPr>
        <w:t>工业</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要求进行</w:t>
      </w:r>
      <w:r>
        <w:rPr>
          <w:rFonts w:hint="eastAsia" w:ascii="Times New Roman" w:hAnsi="Times New Roman" w:eastAsia="仿宋" w:cs="Times New Roman"/>
          <w:sz w:val="30"/>
          <w:szCs w:val="30"/>
          <w:highlight w:val="none"/>
          <w:lang w:val="en-US" w:eastAsia="zh-CN"/>
        </w:rPr>
        <w:t>总体</w:t>
      </w:r>
      <w:r>
        <w:rPr>
          <w:rFonts w:hint="default" w:ascii="Times New Roman" w:hAnsi="Times New Roman" w:eastAsia="仿宋" w:cs="Times New Roman"/>
          <w:sz w:val="30"/>
          <w:szCs w:val="30"/>
          <w:highlight w:val="none"/>
        </w:rPr>
        <w:t>评价，</w:t>
      </w:r>
      <w:r>
        <w:rPr>
          <w:rFonts w:hint="default" w:ascii="Times New Roman" w:hAnsi="Times New Roman" w:eastAsia="仿宋" w:cs="Times New Roman"/>
          <w:sz w:val="30"/>
          <w:szCs w:val="30"/>
          <w:highlight w:val="none"/>
          <w:lang w:val="en-US" w:eastAsia="zh-CN"/>
        </w:rPr>
        <w:t>给出评价得分</w:t>
      </w:r>
      <w:r>
        <w:rPr>
          <w:rFonts w:hint="eastAsia" w:ascii="Times New Roman" w:hAnsi="Times New Roman" w:eastAsia="仿宋" w:cs="Times New Roman"/>
          <w:sz w:val="30"/>
          <w:szCs w:val="30"/>
          <w:highlight w:val="none"/>
          <w:lang w:val="en-US" w:eastAsia="zh-CN"/>
        </w:rPr>
        <w:t>（即</w:t>
      </w:r>
      <w:r>
        <w:rPr>
          <w:rFonts w:hint="eastAsia" w:ascii="Times New Roman" w:hAnsi="Times New Roman" w:eastAsia="仿宋" w:cs="Times New Roman"/>
          <w:sz w:val="30"/>
          <w:szCs w:val="30"/>
          <w:highlight w:val="none"/>
        </w:rPr>
        <w:t>工业园区绿色指数</w:t>
      </w:r>
      <w:r>
        <w:rPr>
          <w:rFonts w:hint="eastAsia" w:ascii="Times New Roman" w:hAnsi="Times New Roman" w:eastAsia="仿宋" w:cs="Times New Roman"/>
          <w:sz w:val="30"/>
          <w:szCs w:val="30"/>
          <w:highlight w:val="none"/>
          <w:lang w:val="en-US" w:eastAsia="zh-CN"/>
        </w:rPr>
        <w:t>）</w:t>
      </w:r>
      <w:r>
        <w:rPr>
          <w:rFonts w:hint="default" w:ascii="Times New Roman" w:hAnsi="Times New Roman" w:eastAsia="仿宋" w:cs="Times New Roman"/>
          <w:sz w:val="30"/>
          <w:szCs w:val="30"/>
          <w:highlight w:val="none"/>
        </w:rPr>
        <w:t>，描述主要创建做法</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工作亮点</w:t>
      </w:r>
      <w:r>
        <w:rPr>
          <w:rFonts w:hint="default" w:ascii="Times New Roman" w:hAnsi="Times New Roman" w:eastAsia="仿宋" w:cs="Times New Roman"/>
          <w:sz w:val="30"/>
          <w:szCs w:val="30"/>
          <w:highlight w:val="none"/>
          <w:lang w:val="en-US" w:eastAsia="zh-CN"/>
        </w:rPr>
        <w:t>和仍存在的问题</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持续创建绿色</w:t>
      </w:r>
      <w:r>
        <w:rPr>
          <w:rFonts w:hint="default" w:ascii="Times New Roman" w:hAnsi="Times New Roman" w:eastAsia="仿宋" w:cs="Times New Roman"/>
          <w:sz w:val="30"/>
          <w:szCs w:val="30"/>
          <w:highlight w:val="none"/>
          <w:lang w:val="en-US" w:eastAsia="zh-CN"/>
        </w:rPr>
        <w:t>工业园区</w:t>
      </w:r>
      <w:r>
        <w:rPr>
          <w:rFonts w:hint="default" w:ascii="Times New Roman" w:hAnsi="Times New Roman" w:eastAsia="仿宋" w:cs="Times New Roman"/>
          <w:sz w:val="30"/>
          <w:szCs w:val="30"/>
          <w:highlight w:val="none"/>
        </w:rPr>
        <w:t>的下一步工作提出建议。</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六</w:t>
      </w:r>
      <w:r>
        <w:rPr>
          <w:rFonts w:hint="default" w:ascii="Times New Roman" w:hAnsi="Times New Roman" w:eastAsia="黑体" w:cs="Times New Roman"/>
          <w:bCs/>
          <w:sz w:val="32"/>
          <w:szCs w:val="32"/>
          <w:highlight w:val="none"/>
        </w:rPr>
        <w:t>、参考文件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2.1及附表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七</w:t>
      </w:r>
      <w:r>
        <w:rPr>
          <w:rFonts w:hint="default" w:ascii="Times New Roman" w:hAnsi="Times New Roman" w:eastAsia="黑体" w:cs="Times New Roman"/>
          <w:bCs/>
          <w:sz w:val="32"/>
          <w:szCs w:val="32"/>
          <w:highlight w:val="none"/>
        </w:rPr>
        <w:t>、第三方机构资质符合性证明材料</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列出第三方机构满足条件的资质符合性证明材料。</w:t>
      </w:r>
    </w:p>
    <w:p>
      <w:pPr>
        <w:rPr>
          <w:rFonts w:hint="default"/>
          <w:highlight w:val="none"/>
        </w:rPr>
      </w:pPr>
    </w:p>
    <w:p>
      <w:pPr>
        <w:rPr>
          <w:rFonts w:hint="default" w:ascii="Times New Roman" w:hAnsi="Times New Roman" w:eastAsia="仿宋" w:cs="Times New Roman"/>
          <w:sz w:val="30"/>
          <w:szCs w:val="30"/>
          <w:highlight w:val="none"/>
          <w:lang w:eastAsia="zh-CN"/>
        </w:rPr>
      </w:pPr>
      <w:r>
        <w:rPr>
          <w:rFonts w:hint="default" w:ascii="Times New Roman" w:hAnsi="Times New Roman" w:eastAsia="仿宋" w:cs="Times New Roman"/>
          <w:sz w:val="30"/>
          <w:szCs w:val="30"/>
          <w:highlight w:val="none"/>
          <w:lang w:eastAsia="zh-CN"/>
        </w:rPr>
        <w:br w:type="page"/>
      </w:r>
    </w:p>
    <w:p>
      <w:pPr>
        <w:ind w:firstLine="0" w:firstLineChars="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2.1</w:t>
      </w: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仿宋_GB2312" w:cs="Times New Roman"/>
          <w:sz w:val="32"/>
          <w:szCs w:val="32"/>
          <w:highlight w:val="none"/>
        </w:rPr>
      </w:pPr>
      <w:r>
        <w:rPr>
          <w:rFonts w:hint="eastAsia" w:ascii="Times New Roman" w:hAnsi="Times New Roman" w:eastAsia="黑体" w:cs="Times New Roman"/>
          <w:bCs/>
          <w:sz w:val="36"/>
          <w:szCs w:val="36"/>
          <w:highlight w:val="none"/>
          <w:lang w:val="en-US" w:eastAsia="zh-CN"/>
        </w:rPr>
        <w:t>绿色工业</w:t>
      </w:r>
      <w:r>
        <w:rPr>
          <w:rFonts w:hint="default" w:ascii="Times New Roman" w:hAnsi="Times New Roman" w:eastAsia="黑体" w:cs="Times New Roman"/>
          <w:bCs/>
          <w:sz w:val="36"/>
          <w:szCs w:val="36"/>
          <w:highlight w:val="none"/>
        </w:rPr>
        <w:t>园区基本要求</w:t>
      </w:r>
      <w:r>
        <w:rPr>
          <w:rFonts w:hint="default" w:ascii="Times New Roman" w:hAnsi="Times New Roman" w:eastAsia="黑体" w:cs="Times New Roman"/>
          <w:bCs/>
          <w:sz w:val="36"/>
          <w:szCs w:val="36"/>
          <w:highlight w:val="none"/>
          <w:lang w:eastAsia="zh-CN"/>
        </w:rPr>
        <w:t>第三方</w:t>
      </w:r>
      <w:r>
        <w:rPr>
          <w:rFonts w:hint="default" w:ascii="Times New Roman" w:hAnsi="Times New Roman" w:eastAsia="黑体" w:cs="Times New Roman"/>
          <w:bCs/>
          <w:sz w:val="36"/>
          <w:szCs w:val="36"/>
          <w:highlight w:val="none"/>
        </w:rPr>
        <w:t>评价表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2"/>
        <w:gridCol w:w="1361"/>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基本要求</w:t>
            </w:r>
          </w:p>
        </w:tc>
        <w:tc>
          <w:tcPr>
            <w:tcW w:w="1361"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是否符合</w:t>
            </w:r>
          </w:p>
        </w:tc>
        <w:tc>
          <w:tcPr>
            <w:tcW w:w="2029"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bCs w:val="0"/>
                <w:kern w:val="0"/>
                <w:sz w:val="28"/>
                <w:szCs w:val="28"/>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国家和地方绿色、循环和低碳相关法律法规、政策和标准应得到有效的贯彻执行。</w:t>
            </w:r>
            <w:r>
              <w:rPr>
                <w:rFonts w:hint="eastAsia" w:ascii="Times New Roman" w:hAnsi="Times New Roman" w:eastAsia="仿宋" w:cs="Times New Roman"/>
                <w:kern w:val="0"/>
                <w:sz w:val="24"/>
                <w:szCs w:val="24"/>
                <w:highlight w:val="none"/>
                <w:lang w:val="en-US" w:eastAsia="zh-CN"/>
              </w:rPr>
              <w:t>涉及化工园区的应通过省级人民政府或其授权机构认定。</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近三年，未发生重大污染事故或重大生态破坏事件，完成国家或地方政府下达的节能减排指标，碳排放强度持续下降。</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环境质量达到国家或地方规定的环境功能区环境质量标准，园区内企业污染物达标排放，各类重点污染物排放总量均不超过国家或地方的总量控制要求。</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132" w:type="dxa"/>
            <w:vAlign w:val="center"/>
          </w:tcPr>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园区重点企业100%实施清洁生产审核。</w:t>
            </w:r>
          </w:p>
        </w:tc>
        <w:tc>
          <w:tcPr>
            <w:tcW w:w="1361" w:type="dxa"/>
            <w:vAlign w:val="center"/>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center"/>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园区企业不应使用国家列入淘汰目录的落后生产技术、工艺和设备，不应生产国家列入淘汰目录的产品。</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园区建立履行绿色发展工作职责的专门机构、配备2名以上专职工作人员。</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鼓励园区建立并运行环境管理体系和能源管理体系，建立园区能源监测管理平台。</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鼓励园区建设并运行风能、太阳能等可再生能源应用设施。</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bl>
    <w:p>
      <w:pPr>
        <w:ind w:firstLine="0" w:firstLineChars="0"/>
        <w:rPr>
          <w:rFonts w:hint="default" w:ascii="Times New Roman" w:hAnsi="Times New Roman" w:eastAsia="仿宋" w:cs="Times New Roman"/>
          <w:highlight w:val="none"/>
        </w:rPr>
      </w:pPr>
      <w:r>
        <w:rPr>
          <w:rFonts w:hint="default" w:ascii="Times New Roman" w:hAnsi="Times New Roman" w:eastAsia="仿宋" w:cs="Times New Roman"/>
          <w:sz w:val="30"/>
          <w:szCs w:val="30"/>
          <w:highlight w:val="none"/>
          <w:lang w:val="en-US" w:eastAsia="zh-CN"/>
        </w:rPr>
        <w:br w:type="page"/>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2.2</w:t>
      </w:r>
    </w:p>
    <w:p>
      <w:pPr>
        <w:snapToGrid w:val="0"/>
        <w:spacing w:line="360" w:lineRule="auto"/>
        <w:ind w:firstLine="0" w:firstLineChars="0"/>
        <w:jc w:val="center"/>
        <w:rPr>
          <w:rFonts w:hint="default" w:ascii="Times New Roman" w:hAnsi="Times New Roman" w:eastAsia="黑体" w:cs="Times New Roman"/>
          <w:bCs/>
          <w:sz w:val="36"/>
          <w:szCs w:val="36"/>
          <w:highlight w:val="none"/>
        </w:rPr>
      </w:pPr>
      <w:r>
        <w:rPr>
          <w:rFonts w:hint="eastAsia" w:ascii="Times New Roman" w:hAnsi="Times New Roman" w:eastAsia="黑体" w:cs="Times New Roman"/>
          <w:bCs/>
          <w:sz w:val="36"/>
          <w:szCs w:val="36"/>
          <w:highlight w:val="none"/>
          <w:lang w:val="en-US" w:eastAsia="zh-CN"/>
        </w:rPr>
        <w:t>绿色工业</w:t>
      </w:r>
      <w:r>
        <w:rPr>
          <w:rFonts w:hint="default" w:ascii="Times New Roman" w:hAnsi="Times New Roman" w:eastAsia="黑体" w:cs="Times New Roman"/>
          <w:bCs/>
          <w:sz w:val="36"/>
          <w:szCs w:val="36"/>
          <w:highlight w:val="none"/>
        </w:rPr>
        <w:t>园区评价指标第三方评价表</w:t>
      </w:r>
    </w:p>
    <w:p>
      <w:pPr>
        <w:spacing w:line="360" w:lineRule="auto"/>
        <w:jc w:val="center"/>
        <w:rPr>
          <w:rFonts w:hint="default" w:ascii="Times New Roman" w:hAnsi="Times New Roman" w:eastAsia="黑体" w:cs="Times New Roman"/>
          <w:bCs/>
          <w:sz w:val="30"/>
          <w:szCs w:val="30"/>
          <w:highlight w:val="none"/>
        </w:rPr>
      </w:pPr>
      <w:r>
        <w:rPr>
          <w:rFonts w:hint="default" w:ascii="Times New Roman" w:hAnsi="Times New Roman" w:eastAsia="黑体" w:cs="Times New Roman"/>
          <w:bCs/>
          <w:sz w:val="30"/>
          <w:szCs w:val="30"/>
          <w:highlight w:val="none"/>
        </w:rPr>
        <w:t>第1年（</w:t>
      </w:r>
      <w:r>
        <w:rPr>
          <w:rFonts w:hint="default" w:ascii="Times New Roman" w:hAnsi="Times New Roman" w:eastAsia="黑体" w:cs="Times New Roman"/>
          <w:bCs/>
          <w:sz w:val="30"/>
          <w:szCs w:val="30"/>
          <w:highlight w:val="none"/>
          <w:u w:val="single"/>
        </w:rPr>
        <w:t xml:space="preserve">    </w:t>
      </w:r>
      <w:r>
        <w:rPr>
          <w:rFonts w:hint="default" w:ascii="Times New Roman" w:hAnsi="Times New Roman" w:eastAsia="黑体" w:cs="Times New Roman"/>
          <w:bCs/>
          <w:sz w:val="30"/>
          <w:szCs w:val="30"/>
          <w:highlight w:val="none"/>
        </w:rPr>
        <w:t>年）指标数据评价情况</w:t>
      </w:r>
    </w:p>
    <w:tbl>
      <w:tblPr>
        <w:tblStyle w:val="11"/>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182"/>
        <w:gridCol w:w="722"/>
        <w:gridCol w:w="759"/>
        <w:gridCol w:w="553"/>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878"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序号</w:t>
            </w:r>
          </w:p>
        </w:tc>
        <w:tc>
          <w:tcPr>
            <w:tcW w:w="3233" w:type="dxa"/>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二级指标</w:t>
            </w:r>
          </w:p>
        </w:tc>
        <w:tc>
          <w:tcPr>
            <w:tcW w:w="118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指标单位</w:t>
            </w:r>
          </w:p>
        </w:tc>
        <w:tc>
          <w:tcPr>
            <w:tcW w:w="72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指标数据</w:t>
            </w:r>
          </w:p>
        </w:tc>
        <w:tc>
          <w:tcPr>
            <w:tcW w:w="759" w:type="dxa"/>
            <w:vAlign w:val="center"/>
          </w:tcPr>
          <w:p>
            <w:pPr>
              <w:adjustRightInd w:val="0"/>
              <w:snapToGrid w:val="0"/>
              <w:jc w:val="center"/>
              <w:rPr>
                <w:rFonts w:hint="default" w:ascii="Times New Roman" w:hAnsi="Times New Roman" w:eastAsia="仿宋_GB2312" w:cs="Times New Roman"/>
                <w:b/>
                <w:kern w:val="0"/>
                <w:sz w:val="24"/>
                <w:szCs w:val="24"/>
                <w:lang w:val="en-US" w:eastAsia="zh-CN" w:bidi="ar-SA"/>
              </w:rPr>
            </w:pPr>
            <w:r>
              <w:rPr>
                <w:rFonts w:hint="default" w:ascii="Times New Roman" w:hAnsi="Times New Roman" w:eastAsia="仿宋_GB2312" w:cs="Times New Roman"/>
                <w:b/>
                <w:kern w:val="0"/>
                <w:sz w:val="24"/>
                <w:szCs w:val="24"/>
                <w:lang w:val="en-US" w:eastAsia="zh-CN"/>
              </w:rPr>
              <w:t>引领值</w:t>
            </w:r>
          </w:p>
        </w:tc>
        <w:tc>
          <w:tcPr>
            <w:tcW w:w="553" w:type="dxa"/>
            <w:vAlign w:val="center"/>
          </w:tcPr>
          <w:p>
            <w:pPr>
              <w:adjustRightInd w:val="0"/>
              <w:snapToGrid w:val="0"/>
              <w:jc w:val="center"/>
              <w:rPr>
                <w:rFonts w:hint="eastAsia" w:ascii="Times New Roman" w:hAnsi="Times New Roman" w:eastAsia="仿宋" w:cs="Times New Roman"/>
                <w:b/>
                <w:bCs w:val="0"/>
                <w:kern w:val="0"/>
                <w:sz w:val="24"/>
                <w:szCs w:val="24"/>
                <w:highlight w:val="none"/>
                <w:lang w:val="en-US" w:eastAsia="zh-CN"/>
              </w:rPr>
            </w:pPr>
            <w:r>
              <w:rPr>
                <w:rFonts w:hint="eastAsia" w:ascii="Times New Roman" w:hAnsi="Times New Roman" w:eastAsia="仿宋" w:cs="Times New Roman"/>
                <w:b/>
                <w:bCs w:val="0"/>
                <w:kern w:val="0"/>
                <w:sz w:val="24"/>
                <w:szCs w:val="24"/>
                <w:highlight w:val="none"/>
                <w:lang w:val="en-US" w:eastAsia="zh-CN"/>
              </w:rPr>
              <w:t>得分</w:t>
            </w:r>
          </w:p>
        </w:tc>
        <w:tc>
          <w:tcPr>
            <w:tcW w:w="977"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bCs w:val="0"/>
                <w:kern w:val="0"/>
                <w:sz w:val="24"/>
                <w:szCs w:val="24"/>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（EG）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万元/tce</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可再生能源使用比例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清洁能源使用率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75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(RG)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水资源产出率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元/m</w:t>
            </w:r>
            <w:r>
              <w:rPr>
                <w:rFonts w:hint="default" w:ascii="Times New Roman" w:hAnsi="Times New Roman" w:eastAsia="仿宋" w:cs="Times New Roman"/>
                <w:kern w:val="0"/>
                <w:sz w:val="24"/>
                <w:szCs w:val="24"/>
                <w:highlight w:val="none"/>
                <w:vertAlign w:val="superscript"/>
              </w:rPr>
              <w:t>3</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土地资源产出率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亿元/km</w:t>
            </w:r>
            <w:r>
              <w:rPr>
                <w:rFonts w:hint="default" w:ascii="Times New Roman" w:hAnsi="Times New Roman" w:eastAsia="仿宋" w:cs="Times New Roman"/>
                <w:kern w:val="0"/>
                <w:sz w:val="24"/>
                <w:szCs w:val="24"/>
                <w:highlight w:val="none"/>
                <w:vertAlign w:val="superscript"/>
              </w:rPr>
              <w:t>2</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工业固体废弃物综合利用率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工业用水重复利用率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中水回用率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余热资源回收利用率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废气资源回收利用率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基础设施</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(IG)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污水集中处理设施</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具备</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新建工业建筑中绿色建筑的比例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新建公共建筑中绿色建筑的比例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500米公交站点覆盖率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节能与新能源公交车比例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产业</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（CG）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高新技术产业产值占园区工业总产值比例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绿色产业增加值占园区工业增加值比例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人均工业增加值</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万元/人</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现代服务业比例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生态环境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（HG）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工业固体废弃物（含危废）处置利用率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万元工业增加值碳排放量消减率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单位工业增加值废水排放量</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t/万元</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主要污染物弹性系数</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0.3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园区空气质量优良率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道路遮荫比例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露天停车场遮荫比例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运行管理</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（MG）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园区绿色标准体系完善程度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编制园区绿色发展规划</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是</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园区绿色信息平台完善程度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spacing w:line="360" w:lineRule="auto"/>
        <w:jc w:val="center"/>
        <w:rPr>
          <w:rFonts w:hint="default" w:ascii="Times New Roman" w:hAnsi="Times New Roman" w:eastAsia="黑体" w:cs="Times New Roman"/>
          <w:bCs/>
          <w:sz w:val="30"/>
          <w:szCs w:val="30"/>
          <w:highlight w:val="none"/>
        </w:rPr>
      </w:pPr>
    </w:p>
    <w:p>
      <w:pPr>
        <w:spacing w:line="360" w:lineRule="auto"/>
        <w:jc w:val="center"/>
        <w:rPr>
          <w:rFonts w:hint="default" w:ascii="Times New Roman" w:hAnsi="Times New Roman" w:eastAsia="黑体" w:cs="Times New Roman"/>
          <w:bCs/>
          <w:sz w:val="30"/>
          <w:szCs w:val="30"/>
          <w:highlight w:val="none"/>
        </w:rPr>
      </w:pPr>
      <w:r>
        <w:rPr>
          <w:rFonts w:hint="default" w:ascii="Times New Roman" w:hAnsi="Times New Roman" w:eastAsia="黑体" w:cs="Times New Roman"/>
          <w:bCs/>
          <w:sz w:val="30"/>
          <w:szCs w:val="30"/>
          <w:highlight w:val="none"/>
        </w:rPr>
        <w:t>第2年（</w:t>
      </w:r>
      <w:r>
        <w:rPr>
          <w:rFonts w:hint="default" w:ascii="Times New Roman" w:hAnsi="Times New Roman" w:eastAsia="黑体" w:cs="Times New Roman"/>
          <w:bCs/>
          <w:sz w:val="30"/>
          <w:szCs w:val="30"/>
          <w:highlight w:val="none"/>
          <w:u w:val="single"/>
        </w:rPr>
        <w:t xml:space="preserve">    </w:t>
      </w:r>
      <w:r>
        <w:rPr>
          <w:rFonts w:hint="default" w:ascii="Times New Roman" w:hAnsi="Times New Roman" w:eastAsia="黑体" w:cs="Times New Roman"/>
          <w:bCs/>
          <w:sz w:val="30"/>
          <w:szCs w:val="30"/>
          <w:highlight w:val="none"/>
        </w:rPr>
        <w:t>年）指标数据评价情况</w:t>
      </w:r>
    </w:p>
    <w:tbl>
      <w:tblPr>
        <w:tblStyle w:val="11"/>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182"/>
        <w:gridCol w:w="722"/>
        <w:gridCol w:w="759"/>
        <w:gridCol w:w="553"/>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878"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序号</w:t>
            </w:r>
          </w:p>
        </w:tc>
        <w:tc>
          <w:tcPr>
            <w:tcW w:w="3233" w:type="dxa"/>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二级指标</w:t>
            </w:r>
          </w:p>
        </w:tc>
        <w:tc>
          <w:tcPr>
            <w:tcW w:w="118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指标单位</w:t>
            </w:r>
          </w:p>
        </w:tc>
        <w:tc>
          <w:tcPr>
            <w:tcW w:w="72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指标数据</w:t>
            </w:r>
          </w:p>
        </w:tc>
        <w:tc>
          <w:tcPr>
            <w:tcW w:w="759" w:type="dxa"/>
            <w:vAlign w:val="center"/>
          </w:tcPr>
          <w:p>
            <w:pPr>
              <w:adjustRightInd w:val="0"/>
              <w:snapToGrid w:val="0"/>
              <w:jc w:val="center"/>
              <w:rPr>
                <w:rFonts w:hint="default" w:ascii="Times New Roman" w:hAnsi="Times New Roman" w:eastAsia="仿宋_GB2312" w:cs="Times New Roman"/>
                <w:b/>
                <w:kern w:val="0"/>
                <w:sz w:val="24"/>
                <w:szCs w:val="24"/>
                <w:lang w:val="en-US" w:eastAsia="zh-CN" w:bidi="ar-SA"/>
              </w:rPr>
            </w:pPr>
            <w:r>
              <w:rPr>
                <w:rFonts w:hint="default" w:ascii="Times New Roman" w:hAnsi="Times New Roman" w:eastAsia="仿宋_GB2312" w:cs="Times New Roman"/>
                <w:b/>
                <w:kern w:val="0"/>
                <w:sz w:val="24"/>
                <w:szCs w:val="24"/>
                <w:lang w:val="en-US" w:eastAsia="zh-CN"/>
              </w:rPr>
              <w:t>引领值</w:t>
            </w:r>
          </w:p>
        </w:tc>
        <w:tc>
          <w:tcPr>
            <w:tcW w:w="553" w:type="dxa"/>
            <w:vAlign w:val="center"/>
          </w:tcPr>
          <w:p>
            <w:pPr>
              <w:adjustRightInd w:val="0"/>
              <w:snapToGrid w:val="0"/>
              <w:jc w:val="center"/>
              <w:rPr>
                <w:rFonts w:hint="eastAsia" w:ascii="Times New Roman" w:hAnsi="Times New Roman" w:eastAsia="仿宋" w:cs="Times New Roman"/>
                <w:b/>
                <w:bCs w:val="0"/>
                <w:kern w:val="0"/>
                <w:sz w:val="24"/>
                <w:szCs w:val="24"/>
                <w:highlight w:val="none"/>
                <w:lang w:val="en-US" w:eastAsia="zh-CN"/>
              </w:rPr>
            </w:pPr>
            <w:r>
              <w:rPr>
                <w:rFonts w:hint="eastAsia" w:ascii="Times New Roman" w:hAnsi="Times New Roman" w:eastAsia="仿宋" w:cs="Times New Roman"/>
                <w:b/>
                <w:bCs w:val="0"/>
                <w:kern w:val="0"/>
                <w:sz w:val="24"/>
                <w:szCs w:val="24"/>
                <w:highlight w:val="none"/>
                <w:lang w:val="en-US" w:eastAsia="zh-CN"/>
              </w:rPr>
              <w:t>得分</w:t>
            </w:r>
          </w:p>
        </w:tc>
        <w:tc>
          <w:tcPr>
            <w:tcW w:w="977"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bCs w:val="0"/>
                <w:kern w:val="0"/>
                <w:sz w:val="24"/>
                <w:szCs w:val="24"/>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（EG）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万元/tce</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可再生能源使用比例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清洁能源使用率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75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(RG)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水资源产出率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元/m</w:t>
            </w:r>
            <w:r>
              <w:rPr>
                <w:rFonts w:hint="default" w:ascii="Times New Roman" w:hAnsi="Times New Roman" w:eastAsia="仿宋" w:cs="Times New Roman"/>
                <w:kern w:val="0"/>
                <w:sz w:val="24"/>
                <w:szCs w:val="24"/>
                <w:highlight w:val="none"/>
                <w:vertAlign w:val="superscript"/>
              </w:rPr>
              <w:t>3</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土地资源产出率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亿元/km</w:t>
            </w:r>
            <w:r>
              <w:rPr>
                <w:rFonts w:hint="default" w:ascii="Times New Roman" w:hAnsi="Times New Roman" w:eastAsia="仿宋" w:cs="Times New Roman"/>
                <w:kern w:val="0"/>
                <w:sz w:val="24"/>
                <w:szCs w:val="24"/>
                <w:highlight w:val="none"/>
                <w:vertAlign w:val="superscript"/>
              </w:rPr>
              <w:t>2</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工业固体废弃物综合利用率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工业用水重复利用率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中水回用率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余热资源回收利用率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废气资源回收利用率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基础设施</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(IG)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污水集中处理设施</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具备</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新建工业建筑中绿色建筑的比例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新建公共建筑中绿色建筑的比例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500米公交站点覆盖率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节能与新能源公交车比例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产业</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（CG）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高新技术产业产值占园区工业总产值比例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绿色产业增加值占园区工业增加值比例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人均工业增加值</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万元/人</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现代服务业比例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生态环境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（HG）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工业固体废弃物（含危废）处置利用率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万元工业增加值碳排放量消减率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单位工业增加值废水排放量</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t/万元</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主要污染物弹性系数</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0.3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园区空气质量优良率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道路遮荫比例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露天停车场遮荫比例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运行管理</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（MG）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园区绿色标准体系完善程度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编制园区绿色发展规划</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是</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园区绿色信息平台完善程度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spacing w:line="360" w:lineRule="auto"/>
        <w:jc w:val="center"/>
        <w:rPr>
          <w:rFonts w:hint="default" w:ascii="Times New Roman" w:hAnsi="Times New Roman" w:eastAsia="黑体" w:cs="Times New Roman"/>
          <w:bCs/>
          <w:sz w:val="30"/>
          <w:szCs w:val="30"/>
          <w:highlight w:val="none"/>
        </w:rPr>
      </w:pPr>
    </w:p>
    <w:p>
      <w:pPr>
        <w:spacing w:line="360" w:lineRule="auto"/>
        <w:jc w:val="center"/>
        <w:rPr>
          <w:rFonts w:hint="default" w:ascii="Times New Roman" w:hAnsi="Times New Roman" w:eastAsia="黑体" w:cs="Times New Roman"/>
          <w:bCs/>
          <w:sz w:val="30"/>
          <w:szCs w:val="30"/>
          <w:highlight w:val="none"/>
        </w:rPr>
      </w:pPr>
      <w:r>
        <w:rPr>
          <w:rFonts w:hint="default" w:ascii="Times New Roman" w:hAnsi="Times New Roman" w:eastAsia="黑体" w:cs="Times New Roman"/>
          <w:bCs/>
          <w:sz w:val="30"/>
          <w:szCs w:val="30"/>
          <w:highlight w:val="none"/>
        </w:rPr>
        <w:t>第3年（</w:t>
      </w:r>
      <w:r>
        <w:rPr>
          <w:rFonts w:hint="default" w:ascii="Times New Roman" w:hAnsi="Times New Roman" w:eastAsia="黑体" w:cs="Times New Roman"/>
          <w:bCs/>
          <w:sz w:val="30"/>
          <w:szCs w:val="30"/>
          <w:highlight w:val="none"/>
          <w:u w:val="single"/>
        </w:rPr>
        <w:t xml:space="preserve">    </w:t>
      </w:r>
      <w:r>
        <w:rPr>
          <w:rFonts w:hint="default" w:ascii="Times New Roman" w:hAnsi="Times New Roman" w:eastAsia="黑体" w:cs="Times New Roman"/>
          <w:bCs/>
          <w:sz w:val="30"/>
          <w:szCs w:val="30"/>
          <w:highlight w:val="none"/>
        </w:rPr>
        <w:t>年）指标数据评价情况</w:t>
      </w:r>
    </w:p>
    <w:tbl>
      <w:tblPr>
        <w:tblStyle w:val="11"/>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182"/>
        <w:gridCol w:w="722"/>
        <w:gridCol w:w="759"/>
        <w:gridCol w:w="553"/>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878"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序号</w:t>
            </w:r>
          </w:p>
        </w:tc>
        <w:tc>
          <w:tcPr>
            <w:tcW w:w="3233" w:type="dxa"/>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二级指标</w:t>
            </w:r>
          </w:p>
        </w:tc>
        <w:tc>
          <w:tcPr>
            <w:tcW w:w="118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指标单位</w:t>
            </w:r>
          </w:p>
        </w:tc>
        <w:tc>
          <w:tcPr>
            <w:tcW w:w="72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指标数据</w:t>
            </w:r>
          </w:p>
        </w:tc>
        <w:tc>
          <w:tcPr>
            <w:tcW w:w="759" w:type="dxa"/>
            <w:vAlign w:val="center"/>
          </w:tcPr>
          <w:p>
            <w:pPr>
              <w:adjustRightInd w:val="0"/>
              <w:snapToGrid w:val="0"/>
              <w:jc w:val="center"/>
              <w:rPr>
                <w:rFonts w:hint="default" w:ascii="Times New Roman" w:hAnsi="Times New Roman" w:eastAsia="仿宋_GB2312" w:cs="Times New Roman"/>
                <w:b/>
                <w:kern w:val="0"/>
                <w:sz w:val="24"/>
                <w:szCs w:val="24"/>
                <w:lang w:val="en-US" w:eastAsia="zh-CN" w:bidi="ar-SA"/>
              </w:rPr>
            </w:pPr>
            <w:r>
              <w:rPr>
                <w:rFonts w:hint="default" w:ascii="Times New Roman" w:hAnsi="Times New Roman" w:eastAsia="仿宋_GB2312" w:cs="Times New Roman"/>
                <w:b/>
                <w:kern w:val="0"/>
                <w:sz w:val="24"/>
                <w:szCs w:val="24"/>
                <w:lang w:val="en-US" w:eastAsia="zh-CN"/>
              </w:rPr>
              <w:t>引领值</w:t>
            </w:r>
          </w:p>
        </w:tc>
        <w:tc>
          <w:tcPr>
            <w:tcW w:w="553" w:type="dxa"/>
            <w:vAlign w:val="center"/>
          </w:tcPr>
          <w:p>
            <w:pPr>
              <w:adjustRightInd w:val="0"/>
              <w:snapToGrid w:val="0"/>
              <w:jc w:val="center"/>
              <w:rPr>
                <w:rFonts w:hint="eastAsia" w:ascii="Times New Roman" w:hAnsi="Times New Roman" w:eastAsia="仿宋" w:cs="Times New Roman"/>
                <w:b/>
                <w:bCs w:val="0"/>
                <w:kern w:val="0"/>
                <w:sz w:val="24"/>
                <w:szCs w:val="24"/>
                <w:highlight w:val="none"/>
                <w:lang w:val="en-US" w:eastAsia="zh-CN"/>
              </w:rPr>
            </w:pPr>
            <w:r>
              <w:rPr>
                <w:rFonts w:hint="eastAsia" w:ascii="Times New Roman" w:hAnsi="Times New Roman" w:eastAsia="仿宋" w:cs="Times New Roman"/>
                <w:b/>
                <w:bCs w:val="0"/>
                <w:kern w:val="0"/>
                <w:sz w:val="24"/>
                <w:szCs w:val="24"/>
                <w:highlight w:val="none"/>
                <w:lang w:val="en-US" w:eastAsia="zh-CN"/>
              </w:rPr>
              <w:t>得分</w:t>
            </w:r>
          </w:p>
        </w:tc>
        <w:tc>
          <w:tcPr>
            <w:tcW w:w="977"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bCs w:val="0"/>
                <w:kern w:val="0"/>
                <w:sz w:val="24"/>
                <w:szCs w:val="24"/>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（EG）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万元/tce</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可再生能源使用比例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清洁能源使用率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75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(RG)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水资源产出率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元/m</w:t>
            </w:r>
            <w:r>
              <w:rPr>
                <w:rFonts w:hint="default" w:ascii="Times New Roman" w:hAnsi="Times New Roman" w:eastAsia="仿宋" w:cs="Times New Roman"/>
                <w:kern w:val="0"/>
                <w:sz w:val="24"/>
                <w:szCs w:val="24"/>
                <w:highlight w:val="none"/>
                <w:vertAlign w:val="superscript"/>
              </w:rPr>
              <w:t>3</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土地资源产出率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亿元/km</w:t>
            </w:r>
            <w:r>
              <w:rPr>
                <w:rFonts w:hint="default" w:ascii="Times New Roman" w:hAnsi="Times New Roman" w:eastAsia="仿宋" w:cs="Times New Roman"/>
                <w:kern w:val="0"/>
                <w:sz w:val="24"/>
                <w:szCs w:val="24"/>
                <w:highlight w:val="none"/>
                <w:vertAlign w:val="superscript"/>
              </w:rPr>
              <w:t>2</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工业固体废弃物综合利用率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工业用水重复利用率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中水回用率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余热资源回收利用率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废气资源回收利用率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基础设施</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(IG)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污水集中处理设施</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具备</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新建工业建筑中绿色建筑的比例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新建公共建筑中绿色建筑的比例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500米公交站点覆盖率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节能与新能源公交车比例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产业</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（CG）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高新技术产业产值占园区工业总产值比例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绿色产业增加值占园区工业增加值比例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人均工业增加值</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万元/人</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现代服务业比例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生态环境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（HG）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工业固体废弃物（含危废）处置利用率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万元工业增加值碳排放量消减率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单位工业增加值废水排放量</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t/万元</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主要污染物弹性系数</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0.3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园区空气质量优良率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道路遮荫比例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露天停车场遮荫比例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运行管理</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（MG）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园区绿色标准体系完善程度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编制园区绿色发展规划</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是</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园区绿色信息平台完善程度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spacing w:line="360" w:lineRule="auto"/>
        <w:rPr>
          <w:rFonts w:hint="eastAsia" w:ascii="Times New Roman" w:hAnsi="Times New Roman" w:eastAsia="仿宋" w:cs="Times New Roman"/>
          <w:kern w:val="0"/>
          <w:sz w:val="24"/>
          <w:szCs w:val="24"/>
          <w:highlight w:val="none"/>
          <w:lang w:eastAsia="zh-CN"/>
        </w:rPr>
      </w:pPr>
      <w:r>
        <w:rPr>
          <w:rFonts w:hint="default" w:ascii="Times New Roman" w:hAnsi="Times New Roman" w:eastAsia="仿宋" w:cs="Times New Roman"/>
          <w:kern w:val="0"/>
          <w:sz w:val="24"/>
          <w:szCs w:val="24"/>
          <w:highlight w:val="none"/>
        </w:rPr>
        <w:t>注：单项指标最高得分不超过120分</w:t>
      </w:r>
      <w:r>
        <w:rPr>
          <w:rFonts w:hint="eastAsia" w:ascii="Times New Roman" w:hAnsi="Times New Roman" w:eastAsia="仿宋" w:cs="Times New Roman"/>
          <w:kern w:val="0"/>
          <w:sz w:val="24"/>
          <w:szCs w:val="24"/>
          <w:highlight w:val="none"/>
          <w:lang w:eastAsia="zh-CN"/>
        </w:rPr>
        <w:t>。</w:t>
      </w:r>
    </w:p>
    <w:p>
      <w:pPr>
        <w:rPr>
          <w:rFonts w:hint="default" w:ascii="Times New Roman" w:hAnsi="Times New Roman" w:cs="Times New Roman"/>
          <w:highlight w:val="none"/>
        </w:rPr>
      </w:pPr>
      <w:r>
        <w:rPr>
          <w:rFonts w:hint="default" w:ascii="Times New Roman" w:hAnsi="Times New Roman" w:cs="Times New Roman"/>
          <w:highlight w:val="none"/>
        </w:rPr>
        <w:br w:type="page"/>
      </w:r>
    </w:p>
    <w:p>
      <w:pPr>
        <w:outlineLvl w:val="1"/>
        <w:rPr>
          <w:rFonts w:hint="eastAsia"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件6</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outlineLvl w:val="1"/>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绿色供应链管理</w:t>
      </w:r>
      <w:r>
        <w:rPr>
          <w:rFonts w:hint="default" w:ascii="Times New Roman" w:hAnsi="Times New Roman" w:eastAsia="黑体" w:cs="Times New Roman"/>
          <w:bCs/>
          <w:sz w:val="52"/>
          <w:szCs w:val="52"/>
          <w:highlight w:val="none"/>
          <w:lang w:eastAsia="zh-CN"/>
        </w:rPr>
        <w:t>企业</w:t>
      </w:r>
    </w:p>
    <w:p>
      <w:pPr>
        <w:spacing w:line="360" w:lineRule="auto"/>
        <w:jc w:val="center"/>
        <w:outlineLvl w:val="1"/>
        <w:rPr>
          <w:rFonts w:hint="default" w:ascii="Times New Roman" w:hAnsi="Times New Roman" w:eastAsia="黑体" w:cs="Times New Roman"/>
          <w:bCs/>
          <w:sz w:val="52"/>
          <w:szCs w:val="52"/>
          <w:highlight w:val="none"/>
        </w:rPr>
      </w:pPr>
      <w:r>
        <w:rPr>
          <w:rFonts w:hint="eastAsia" w:ascii="Times New Roman" w:hAnsi="Times New Roman" w:eastAsia="黑体" w:cs="Times New Roman"/>
          <w:bCs/>
          <w:sz w:val="52"/>
          <w:szCs w:val="52"/>
          <w:highlight w:val="none"/>
          <w:lang w:eastAsia="zh-CN"/>
        </w:rPr>
        <w:t>第三方</w:t>
      </w:r>
      <w:bookmarkStart w:id="0" w:name="_GoBack"/>
      <w:bookmarkEnd w:id="0"/>
      <w:r>
        <w:rPr>
          <w:rFonts w:hint="default" w:ascii="Times New Roman" w:hAnsi="Times New Roman" w:eastAsia="黑体" w:cs="Times New Roman"/>
          <w:bCs/>
          <w:sz w:val="52"/>
          <w:szCs w:val="52"/>
          <w:highlight w:val="none"/>
        </w:rPr>
        <w:t>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szCs w:val="32"/>
          <w:highlight w:val="none"/>
        </w:rPr>
      </w:pPr>
    </w:p>
    <w:p>
      <w:pPr>
        <w:rPr>
          <w:rFonts w:hint="default" w:ascii="Times New Roman" w:hAnsi="Times New Roman" w:eastAsia="方正仿宋简体" w:cs="Times New Roman"/>
          <w:sz w:val="32"/>
          <w:szCs w:val="32"/>
          <w:highlight w:val="none"/>
        </w:rPr>
      </w:pPr>
    </w:p>
    <w:p>
      <w:pPr>
        <w:spacing w:line="360" w:lineRule="auto"/>
        <w:ind w:firstLine="960" w:firstLineChars="3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mc:AlternateContent>
          <mc:Choice Requires="wps">
            <w:drawing>
              <wp:anchor distT="0" distB="0" distL="114300" distR="114300" simplePos="0" relativeHeight="251662336" behindDoc="0" locked="0" layoutInCell="1" allowOverlap="1">
                <wp:simplePos x="0" y="0"/>
                <wp:positionH relativeFrom="column">
                  <wp:posOffset>2265680</wp:posOffset>
                </wp:positionH>
                <wp:positionV relativeFrom="paragraph">
                  <wp:posOffset>285115</wp:posOffset>
                </wp:positionV>
                <wp:extent cx="2733040" cy="635"/>
                <wp:effectExtent l="0" t="4445" r="635" b="8890"/>
                <wp:wrapNone/>
                <wp:docPr id="7" name="直接箭头连接符 7"/>
                <wp:cNvGraphicFramePr/>
                <a:graphic xmlns:a="http://schemas.openxmlformats.org/drawingml/2006/main">
                  <a:graphicData uri="http://schemas.microsoft.com/office/word/2010/wordprocessingShape">
                    <wps:wsp>
                      <wps:cNvCnPr/>
                      <wps:spPr>
                        <a:xfrm flipV="true">
                          <a:off x="0" y="0"/>
                          <a:ext cx="273304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78.4pt;margin-top:22.45pt;height:0.05pt;width:215.2pt;z-index:251662336;mso-width-relative:page;mso-height-relative:page;" filled="f" stroked="t" coordsize="21600,21600" o:gfxdata="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SMXT0NgAAAAJAQAADwAAAAAAAAABACAAAAA4AAAAZHJz&#10;L2Rvd25yZXYueG1sUEsBAhQAFAAAAAgAh07iQA0//YnuAQAArQMAAA4AAAAAAAAAAQAgAAAAPQEA&#10;AGRycy9lMm9Eb2MueG1sUEsFBgAAAAAGAAYAWQEAAJ0FAAAAAA==&#10;">
                <v:fill on="f" focussize="0,0"/>
                <v:stroke color="#000000" joinstyle="round"/>
                <v:imagedata o:title=""/>
                <o:lock v:ext="edit" aspectratio="f"/>
              </v:shape>
            </w:pict>
          </mc:Fallback>
        </mc:AlternateContent>
      </w:r>
      <w:r>
        <w:rPr>
          <w:rFonts w:hint="default" w:ascii="Times New Roman" w:hAnsi="Times New Roman" w:eastAsia="仿宋" w:cs="Times New Roman"/>
          <w:sz w:val="32"/>
          <w:szCs w:val="32"/>
          <w:highlight w:val="none"/>
        </w:rPr>
        <w:t>企  业  名  称：</w:t>
      </w:r>
    </w:p>
    <w:p>
      <w:pPr>
        <w:spacing w:line="360" w:lineRule="auto"/>
        <w:ind w:firstLine="1920" w:firstLineChars="600"/>
        <w:rPr>
          <w:rFonts w:hint="default" w:ascii="Times New Roman" w:hAnsi="Times New Roman" w:eastAsia="仿宋" w:cs="Times New Roman"/>
          <w:sz w:val="32"/>
          <w:szCs w:val="32"/>
          <w:highlight w:val="none"/>
        </w:rPr>
      </w:pPr>
    </w:p>
    <w:p>
      <w:pPr>
        <w:spacing w:line="360" w:lineRule="auto"/>
        <w:ind w:firstLine="960" w:firstLineChars="300"/>
        <w:rPr>
          <w:rFonts w:hint="eastAsia"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mc:AlternateContent>
          <mc:Choice Requires="wps">
            <w:drawing>
              <wp:anchor distT="0" distB="0" distL="114300" distR="114300" simplePos="0" relativeHeight="251663360" behindDoc="0" locked="0" layoutInCell="1" allowOverlap="1">
                <wp:simplePos x="0" y="0"/>
                <wp:positionH relativeFrom="column">
                  <wp:posOffset>2242820</wp:posOffset>
                </wp:positionH>
                <wp:positionV relativeFrom="paragraph">
                  <wp:posOffset>300355</wp:posOffset>
                </wp:positionV>
                <wp:extent cx="2700020" cy="635"/>
                <wp:effectExtent l="0" t="4445" r="5080" b="8890"/>
                <wp:wrapNone/>
                <wp:docPr id="8" name="直接箭头连接符 8"/>
                <wp:cNvGraphicFramePr/>
                <a:graphic xmlns:a="http://schemas.openxmlformats.org/drawingml/2006/main">
                  <a:graphicData uri="http://schemas.microsoft.com/office/word/2010/wordprocessingShape">
                    <wps:wsp>
                      <wps:cNvCnPr/>
                      <wps:spPr>
                        <a:xfrm flipV="true">
                          <a:off x="0" y="0"/>
                          <a:ext cx="270002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76.6pt;margin-top:23.65pt;height:0.05pt;width:212.6pt;z-index:251663360;mso-width-relative:page;mso-height-relative:page;" filled="f" stroked="t" coordsize="21600,21600" o:gfxdata="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EojXF/XAAAACQEAAA8AAAAAAAAAAQAgAAAAOAAAAGRycy9k&#10;b3ducmV2LnhtbFBLAQIUABQAAAAIAIdO4kDzUcqE7QEAAK0DAAAOAAAAAAAAAAEAIAAAADwBAABk&#10;cnMvZTJvRG9jLnhtbFBLBQYAAAAABgAGAFkBAACbBQAAAAA=&#10;">
                <v:fill on="f" focussize="0,0"/>
                <v:stroke color="#000000" joinstyle="round"/>
                <v:imagedata o:title=""/>
                <o:lock v:ext="edit" aspectratio="f"/>
              </v:shape>
            </w:pict>
          </mc:Fallback>
        </mc:AlternateContent>
      </w:r>
      <w:r>
        <w:rPr>
          <w:rFonts w:hint="default" w:ascii="Times New Roman" w:hAnsi="Times New Roman" w:eastAsia="仿宋" w:cs="Times New Roman"/>
          <w:sz w:val="32"/>
          <w:szCs w:val="32"/>
          <w:highlight w:val="none"/>
        </w:rPr>
        <w:t>第三方机构名称</w:t>
      </w:r>
      <w:r>
        <w:rPr>
          <w:rFonts w:hint="eastAsia" w:ascii="Times New Roman" w:hAnsi="Times New Roman" w:eastAsia="仿宋" w:cs="Times New Roman"/>
          <w:sz w:val="32"/>
          <w:szCs w:val="32"/>
          <w:highlight w:val="none"/>
          <w:lang w:eastAsia="zh-CN"/>
        </w:rPr>
        <w:t>：</w:t>
      </w:r>
    </w:p>
    <w:p>
      <w:pPr>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 xml:space="preserve">   </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t xml:space="preserve">               </w:t>
      </w:r>
    </w:p>
    <w:p>
      <w:pPr>
        <w:rPr>
          <w:rFonts w:hint="default" w:ascii="Times New Roman" w:hAnsi="Times New Roman" w:eastAsia="仿宋_GB2312" w:cs="Times New Roman"/>
          <w:sz w:val="32"/>
          <w:szCs w:val="32"/>
          <w:highlight w:val="none"/>
        </w:rPr>
      </w:pPr>
    </w:p>
    <w:p>
      <w:pPr>
        <w:ind w:firstLine="3200" w:firstLineChars="10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工业和信息化部制</w:t>
      </w:r>
    </w:p>
    <w:p>
      <w:pPr>
        <w:rPr>
          <w:rFonts w:hint="default" w:ascii="Times New Roman" w:hAnsi="Times New Roman" w:eastAsia="仿宋_GB2312" w:cs="Times New Roman"/>
          <w:sz w:val="32"/>
          <w:szCs w:val="32"/>
          <w:highlight w:val="none"/>
        </w:rPr>
      </w:pPr>
      <w:r>
        <w:rPr>
          <w:rFonts w:hint="default" w:ascii="Times New Roman" w:hAnsi="Times New Roman" w:eastAsia="仿宋" w:cs="Times New Roman"/>
          <w:sz w:val="32"/>
          <w:szCs w:val="32"/>
          <w:highlight w:val="none"/>
        </w:rPr>
        <w:t xml:space="preserve">                    20   年      月     </w:t>
      </w: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6"/>
          <w:szCs w:val="36"/>
          <w:highlight w:val="none"/>
        </w:rPr>
        <w:br w:type="page"/>
      </w:r>
      <w:r>
        <w:rPr>
          <w:rFonts w:hint="default" w:ascii="Times New Roman" w:hAnsi="Times New Roman" w:eastAsia="黑体" w:cs="Times New Roman"/>
          <w:bCs/>
          <w:sz w:val="32"/>
          <w:szCs w:val="32"/>
          <w:highlight w:val="none"/>
        </w:rPr>
        <w:t>基本信息表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1678"/>
        <w:gridCol w:w="663"/>
        <w:gridCol w:w="255"/>
        <w:gridCol w:w="1432"/>
        <w:gridCol w:w="549"/>
        <w:gridCol w:w="376"/>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22" w:type="dxa"/>
            <w:gridSpan w:val="8"/>
            <w:vAlign w:val="center"/>
          </w:tcPr>
          <w:p>
            <w:pPr>
              <w:widowControl/>
              <w:jc w:val="lef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企业名称</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通讯地址</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所属行业</w:t>
            </w:r>
          </w:p>
        </w:tc>
        <w:tc>
          <w:tcPr>
            <w:tcW w:w="2341" w:type="dxa"/>
            <w:gridSpan w:val="2"/>
            <w:vAlign w:val="center"/>
          </w:tcPr>
          <w:p>
            <w:pPr>
              <w:widowControl/>
              <w:jc w:val="left"/>
              <w:rPr>
                <w:rFonts w:hint="default" w:ascii="Times New Roman" w:hAnsi="Times New Roman" w:eastAsia="仿宋" w:cs="Times New Roman"/>
                <w:color w:val="000000"/>
                <w:kern w:val="0"/>
                <w:sz w:val="24"/>
                <w:highlight w:val="none"/>
              </w:rPr>
            </w:pPr>
            <w:r>
              <w:rPr>
                <w:rFonts w:hint="eastAsia" w:ascii="Times New Roman" w:hAnsi="Times New Roman" w:eastAsia="仿宋" w:cs="Times New Roman"/>
                <w:color w:val="000000"/>
                <w:kern w:val="0"/>
                <w:sz w:val="24"/>
                <w:highlight w:val="none"/>
                <w:lang w:eastAsia="zh-CN"/>
              </w:rPr>
              <w:t>（</w:t>
            </w:r>
            <w:r>
              <w:rPr>
                <w:rFonts w:hint="eastAsia" w:ascii="Times New Roman" w:hAnsi="Times New Roman" w:eastAsia="仿宋" w:cs="Times New Roman"/>
                <w:color w:val="000000"/>
                <w:kern w:val="0"/>
                <w:sz w:val="24"/>
                <w:highlight w:val="none"/>
                <w:lang w:val="en-US" w:eastAsia="zh-CN"/>
              </w:rPr>
              <w:t>按统计局四位代码填写，可多填</w:t>
            </w:r>
            <w:r>
              <w:rPr>
                <w:rFonts w:hint="eastAsia" w:ascii="Times New Roman" w:hAnsi="Times New Roman" w:eastAsia="仿宋" w:cs="Times New Roman"/>
                <w:color w:val="000000"/>
                <w:kern w:val="0"/>
                <w:sz w:val="24"/>
                <w:highlight w:val="none"/>
                <w:lang w:eastAsia="zh-CN"/>
              </w:rPr>
              <w:t>）</w:t>
            </w:r>
          </w:p>
        </w:tc>
        <w:tc>
          <w:tcPr>
            <w:tcW w:w="1687"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val="en-US" w:eastAsia="zh-CN"/>
              </w:rPr>
              <w:t>主要产品</w:t>
            </w:r>
          </w:p>
        </w:tc>
        <w:tc>
          <w:tcPr>
            <w:tcW w:w="2584" w:type="dxa"/>
            <w:gridSpan w:val="3"/>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单位</w:t>
            </w:r>
            <w:r>
              <w:rPr>
                <w:rFonts w:hint="default" w:ascii="Times New Roman" w:hAnsi="Times New Roman" w:eastAsia="仿宋" w:cs="Times New Roman"/>
                <w:color w:val="000000"/>
                <w:kern w:val="0"/>
                <w:sz w:val="24"/>
                <w:highlight w:val="none"/>
              </w:rPr>
              <w:t>性质</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内资（□国有□集体□民营）□中外合资□港澳台□外商独资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申报工作</w:t>
            </w:r>
          </w:p>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联系部门</w:t>
            </w:r>
          </w:p>
        </w:tc>
        <w:tc>
          <w:tcPr>
            <w:tcW w:w="2341" w:type="dxa"/>
            <w:gridSpan w:val="2"/>
            <w:vAlign w:val="center"/>
          </w:tcPr>
          <w:p>
            <w:pPr>
              <w:widowControl/>
              <w:jc w:val="left"/>
              <w:rPr>
                <w:rFonts w:hint="default" w:ascii="Times New Roman" w:hAnsi="Times New Roman" w:eastAsia="仿宋" w:cs="Times New Roman"/>
                <w:color w:val="000000"/>
                <w:kern w:val="0"/>
                <w:sz w:val="24"/>
                <w:highlight w:val="none"/>
              </w:rPr>
            </w:pPr>
          </w:p>
        </w:tc>
        <w:tc>
          <w:tcPr>
            <w:tcW w:w="1687"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w:t>
            </w:r>
          </w:p>
        </w:tc>
        <w:tc>
          <w:tcPr>
            <w:tcW w:w="2584" w:type="dxa"/>
            <w:gridSpan w:val="3"/>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联系电话</w:t>
            </w:r>
          </w:p>
        </w:tc>
        <w:tc>
          <w:tcPr>
            <w:tcW w:w="2341" w:type="dxa"/>
            <w:gridSpan w:val="2"/>
            <w:vAlign w:val="center"/>
          </w:tcPr>
          <w:p>
            <w:pPr>
              <w:widowControl/>
              <w:jc w:val="left"/>
              <w:rPr>
                <w:rFonts w:hint="default" w:ascii="Times New Roman" w:hAnsi="Times New Roman" w:eastAsia="仿宋" w:cs="Times New Roman"/>
                <w:color w:val="000000"/>
                <w:kern w:val="0"/>
                <w:sz w:val="24"/>
                <w:highlight w:val="none"/>
              </w:rPr>
            </w:pPr>
          </w:p>
        </w:tc>
        <w:tc>
          <w:tcPr>
            <w:tcW w:w="1687"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电子邮箱</w:t>
            </w:r>
          </w:p>
        </w:tc>
        <w:tc>
          <w:tcPr>
            <w:tcW w:w="2584" w:type="dxa"/>
            <w:gridSpan w:val="3"/>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eastAsia" w:ascii="Times New Roman" w:hAnsi="Times New Roman" w:eastAsia="仿宋" w:cs="Times New Roman"/>
                <w:color w:val="000000"/>
                <w:kern w:val="0"/>
                <w:sz w:val="24"/>
                <w:highlight w:val="none"/>
                <w:lang w:val="en-US" w:eastAsia="zh-CN"/>
              </w:rPr>
              <w:t>供应商数量</w:t>
            </w:r>
          </w:p>
        </w:tc>
        <w:tc>
          <w:tcPr>
            <w:tcW w:w="1678" w:type="dxa"/>
            <w:vAlign w:val="center"/>
          </w:tcPr>
          <w:p>
            <w:pPr>
              <w:widowControl/>
              <w:jc w:val="left"/>
              <w:rPr>
                <w:rFonts w:hint="default" w:ascii="Times New Roman" w:hAnsi="Times New Roman" w:eastAsia="仿宋" w:cs="Times New Roman"/>
                <w:color w:val="000000"/>
                <w:kern w:val="0"/>
                <w:sz w:val="24"/>
                <w:highlight w:val="none"/>
                <w:lang w:val="en-US" w:eastAsia="zh-CN"/>
              </w:rPr>
            </w:pPr>
            <w:r>
              <w:rPr>
                <w:rFonts w:hint="eastAsia" w:ascii="Times New Roman" w:hAnsi="Times New Roman" w:eastAsia="仿宋" w:cs="Times New Roman"/>
                <w:color w:val="000000"/>
                <w:kern w:val="0"/>
                <w:sz w:val="24"/>
                <w:highlight w:val="none"/>
                <w:lang w:val="en-US" w:eastAsia="zh-CN"/>
              </w:rPr>
              <w:t xml:space="preserve">        家</w:t>
            </w:r>
          </w:p>
        </w:tc>
        <w:tc>
          <w:tcPr>
            <w:tcW w:w="3275" w:type="dxa"/>
            <w:gridSpan w:val="5"/>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eastAsia" w:ascii="Times New Roman" w:hAnsi="Times New Roman" w:eastAsia="仿宋" w:cs="Times New Roman"/>
                <w:color w:val="000000"/>
                <w:kern w:val="0"/>
                <w:sz w:val="24"/>
                <w:highlight w:val="none"/>
                <w:lang w:val="en-US" w:eastAsia="zh-CN"/>
              </w:rPr>
              <w:t>供应商中，国家绿色工厂数量</w:t>
            </w:r>
          </w:p>
        </w:tc>
        <w:tc>
          <w:tcPr>
            <w:tcW w:w="1659" w:type="dxa"/>
            <w:vAlign w:val="center"/>
          </w:tcPr>
          <w:p>
            <w:pPr>
              <w:widowControl/>
              <w:jc w:val="center"/>
              <w:rPr>
                <w:rFonts w:hint="default" w:ascii="Times New Roman" w:hAnsi="Times New Roman" w:eastAsia="仿宋" w:cs="Times New Roman"/>
                <w:color w:val="000000"/>
                <w:kern w:val="0"/>
                <w:sz w:val="24"/>
                <w:highlight w:val="none"/>
              </w:rPr>
            </w:pPr>
            <w:r>
              <w:rPr>
                <w:rFonts w:hint="eastAsia" w:ascii="Times New Roman" w:hAnsi="Times New Roman" w:eastAsia="仿宋" w:cs="Times New Roman"/>
                <w:color w:val="000000"/>
                <w:kern w:val="0"/>
                <w:sz w:val="24"/>
                <w:highlight w:val="none"/>
                <w:lang w:val="en-US" w:eastAsia="zh-CN"/>
              </w:rPr>
              <w:t xml:space="preserve">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22" w:type="dxa"/>
            <w:gridSpan w:val="8"/>
            <w:tcBorders>
              <w:top w:val="nil"/>
            </w:tcBorders>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第三方机构名称</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第三方机构地址</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机构法定代表人</w:t>
            </w:r>
          </w:p>
        </w:tc>
        <w:tc>
          <w:tcPr>
            <w:tcW w:w="2596" w:type="dxa"/>
            <w:gridSpan w:val="3"/>
            <w:vAlign w:val="center"/>
          </w:tcPr>
          <w:p>
            <w:pPr>
              <w:widowControl/>
              <w:jc w:val="center"/>
              <w:rPr>
                <w:rFonts w:hint="default" w:ascii="Times New Roman" w:hAnsi="Times New Roman" w:eastAsia="仿宋" w:cs="Times New Roman"/>
                <w:color w:val="000000"/>
                <w:kern w:val="0"/>
                <w:sz w:val="24"/>
                <w:highlight w:val="none"/>
              </w:rPr>
            </w:pPr>
          </w:p>
        </w:tc>
        <w:tc>
          <w:tcPr>
            <w:tcW w:w="198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法定代表人电话</w:t>
            </w:r>
          </w:p>
        </w:tc>
        <w:tc>
          <w:tcPr>
            <w:tcW w:w="2035"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机构联系人</w:t>
            </w:r>
          </w:p>
        </w:tc>
        <w:tc>
          <w:tcPr>
            <w:tcW w:w="2596" w:type="dxa"/>
            <w:gridSpan w:val="3"/>
            <w:vAlign w:val="center"/>
          </w:tcPr>
          <w:p>
            <w:pPr>
              <w:widowControl/>
              <w:jc w:val="center"/>
              <w:rPr>
                <w:rFonts w:hint="default" w:ascii="Times New Roman" w:hAnsi="Times New Roman" w:eastAsia="仿宋" w:cs="Times New Roman"/>
                <w:color w:val="000000"/>
                <w:kern w:val="0"/>
                <w:sz w:val="24"/>
                <w:highlight w:val="none"/>
              </w:rPr>
            </w:pPr>
          </w:p>
        </w:tc>
        <w:tc>
          <w:tcPr>
            <w:tcW w:w="198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联系人电话</w:t>
            </w:r>
          </w:p>
        </w:tc>
        <w:tc>
          <w:tcPr>
            <w:tcW w:w="2035"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报告编制负责人</w:t>
            </w:r>
          </w:p>
        </w:tc>
        <w:tc>
          <w:tcPr>
            <w:tcW w:w="2596" w:type="dxa"/>
            <w:gridSpan w:val="3"/>
            <w:vAlign w:val="center"/>
          </w:tcPr>
          <w:p>
            <w:pPr>
              <w:widowControl/>
              <w:jc w:val="center"/>
              <w:rPr>
                <w:rFonts w:hint="default" w:ascii="Times New Roman" w:hAnsi="Times New Roman" w:eastAsia="仿宋" w:cs="Times New Roman"/>
                <w:color w:val="000000"/>
                <w:kern w:val="0"/>
                <w:sz w:val="24"/>
                <w:highlight w:val="none"/>
              </w:rPr>
            </w:pPr>
          </w:p>
        </w:tc>
        <w:tc>
          <w:tcPr>
            <w:tcW w:w="198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kern w:val="0"/>
                <w:sz w:val="24"/>
                <w:szCs w:val="24"/>
                <w:highlight w:val="none"/>
              </w:rPr>
              <w:t>负责人电话</w:t>
            </w:r>
          </w:p>
        </w:tc>
        <w:tc>
          <w:tcPr>
            <w:tcW w:w="2035"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22" w:type="dxa"/>
            <w:gridSpan w:val="8"/>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三、绿色供应链管理</w:t>
            </w:r>
            <w:r>
              <w:rPr>
                <w:rFonts w:hint="default" w:ascii="Times New Roman" w:hAnsi="Times New Roman" w:eastAsia="仿宋" w:cs="Times New Roman"/>
                <w:b/>
                <w:color w:val="000000"/>
                <w:kern w:val="0"/>
                <w:sz w:val="24"/>
                <w:highlight w:val="none"/>
                <w:lang w:eastAsia="zh-CN"/>
              </w:rPr>
              <w:t>企业</w:t>
            </w:r>
            <w:r>
              <w:rPr>
                <w:rFonts w:hint="default" w:ascii="Times New Roman" w:hAnsi="Times New Roman" w:eastAsia="仿宋" w:cs="Times New Roman"/>
                <w:b/>
                <w:color w:val="000000"/>
                <w:kern w:val="0"/>
                <w:sz w:val="24"/>
                <w:highlight w:val="none"/>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基本要求</w:t>
            </w:r>
          </w:p>
        </w:tc>
        <w:tc>
          <w:tcPr>
            <w:tcW w:w="2596"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□符合  □不符合</w:t>
            </w:r>
          </w:p>
        </w:tc>
        <w:tc>
          <w:tcPr>
            <w:tcW w:w="198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评价得分</w:t>
            </w:r>
          </w:p>
        </w:tc>
        <w:tc>
          <w:tcPr>
            <w:tcW w:w="2035"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1910" w:type="dxa"/>
            <w:vAlign w:val="center"/>
          </w:tcPr>
          <w:p>
            <w:pPr>
              <w:spacing w:line="360" w:lineRule="auto"/>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spacing w:line="360" w:lineRule="auto"/>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val="en-US" w:eastAsia="zh-CN"/>
              </w:rPr>
              <w:t>亮点</w:t>
            </w:r>
          </w:p>
        </w:tc>
        <w:tc>
          <w:tcPr>
            <w:tcW w:w="6612" w:type="dxa"/>
            <w:gridSpan w:val="7"/>
            <w:vAlign w:val="top"/>
          </w:tcPr>
          <w:p>
            <w:pPr>
              <w:spacing w:line="360" w:lineRule="auto"/>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gridSpan w:val="8"/>
            <w:vAlign w:val="center"/>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结论证据充分，真实、准确的反映了评价过程的发现，严谨的出具结论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ind w:firstLine="4802" w:firstLineChars="2000"/>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widowControl/>
              <w:wordWrap/>
              <w:spacing w:line="360" w:lineRule="auto"/>
              <w:ind w:right="482"/>
              <w:jc w:val="right"/>
              <w:rPr>
                <w:rFonts w:hint="default" w:ascii="Times New Roman" w:hAnsi="Times New Roman" w:eastAsia="仿宋" w:cs="Times New Roman"/>
                <w:color w:val="000000"/>
                <w:kern w:val="0"/>
                <w:sz w:val="24"/>
                <w:highlight w:val="none"/>
              </w:rPr>
            </w:pPr>
          </w:p>
        </w:tc>
      </w:tr>
    </w:tbl>
    <w:p>
      <w:pPr>
        <w:jc w:val="center"/>
        <w:rPr>
          <w:rFonts w:hint="default" w:ascii="Times New Roman" w:hAnsi="Times New Roman" w:eastAsia="黑体" w:cs="Times New Roman"/>
          <w:bCs/>
          <w:sz w:val="44"/>
          <w:szCs w:val="4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napToGrid/>
        <w:spacing w:line="240" w:lineRule="auto"/>
        <w:jc w:val="left"/>
        <w:outlineLvl w:val="9"/>
        <w:rPr>
          <w:rFonts w:hint="default"/>
          <w:highlight w:val="none"/>
        </w:rPr>
      </w:pPr>
    </w:p>
    <w:p>
      <w:pPr>
        <w:snapToGrid w:val="0"/>
        <w:spacing w:line="480" w:lineRule="auto"/>
        <w:jc w:val="center"/>
        <w:outlineLvl w:val="9"/>
        <w:rPr>
          <w:rFonts w:hint="default" w:ascii="Times New Roman" w:hAnsi="Times New Roman" w:eastAsia="黑体" w:cs="Times New Roman"/>
          <w:bCs/>
          <w:color w:val="000000"/>
          <w:sz w:val="36"/>
          <w:szCs w:val="36"/>
          <w:highlight w:val="none"/>
        </w:rPr>
      </w:pPr>
      <w:r>
        <w:rPr>
          <w:rFonts w:hint="default" w:ascii="Times New Roman" w:hAnsi="Times New Roman" w:eastAsia="黑体" w:cs="Times New Roman"/>
          <w:bCs/>
          <w:color w:val="000000"/>
          <w:sz w:val="36"/>
          <w:szCs w:val="36"/>
          <w:highlight w:val="none"/>
        </w:rPr>
        <w:t>绿色供应链管理</w:t>
      </w:r>
      <w:r>
        <w:rPr>
          <w:rFonts w:hint="default" w:ascii="Times New Roman" w:hAnsi="Times New Roman" w:eastAsia="黑体" w:cs="Times New Roman"/>
          <w:bCs/>
          <w:color w:val="000000"/>
          <w:sz w:val="36"/>
          <w:szCs w:val="36"/>
          <w:highlight w:val="none"/>
          <w:lang w:eastAsia="zh-CN"/>
        </w:rPr>
        <w:t>企业</w:t>
      </w:r>
      <w:r>
        <w:rPr>
          <w:rFonts w:hint="default" w:ascii="Times New Roman" w:hAnsi="Times New Roman" w:eastAsia="黑体" w:cs="Times New Roman"/>
          <w:bCs/>
          <w:color w:val="000000"/>
          <w:sz w:val="36"/>
          <w:szCs w:val="36"/>
          <w:highlight w:val="none"/>
        </w:rPr>
        <w:t>评价报告（格式）</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主要介绍企业绿色供应链管理评价的目的、依据及被评价企业的基本情况</w:t>
      </w:r>
      <w:r>
        <w:rPr>
          <w:rFonts w:hint="eastAsia" w:ascii="Times New Roman" w:hAnsi="Times New Roman" w:eastAsia="仿宋" w:cs="Times New Roman"/>
          <w:sz w:val="30"/>
          <w:szCs w:val="30"/>
          <w:highlight w:val="none"/>
          <w:lang w:eastAsia="zh-CN"/>
        </w:rPr>
        <w:t>（</w:t>
      </w:r>
      <w:r>
        <w:rPr>
          <w:rFonts w:hint="eastAsia" w:ascii="Times New Roman" w:hAnsi="Times New Roman" w:eastAsia="仿宋" w:cs="Times New Roman"/>
          <w:sz w:val="30"/>
          <w:szCs w:val="30"/>
          <w:highlight w:val="none"/>
        </w:rPr>
        <w:t>企业的基本信息、发展现状、主要产品、生产经营状况、供应商以及在绿色发展方面开展的重点工作及取得的成绩等</w:t>
      </w:r>
      <w:r>
        <w:rPr>
          <w:rFonts w:hint="eastAsia"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rPr>
        <w:t>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w:t>
      </w:r>
      <w:r>
        <w:rPr>
          <w:rFonts w:hint="eastAsia" w:ascii="Times New Roman" w:hAnsi="Times New Roman" w:eastAsia="仿宋" w:cs="Times New Roman"/>
          <w:sz w:val="30"/>
          <w:szCs w:val="30"/>
          <w:highlight w:val="none"/>
          <w:lang w:val="en-US" w:eastAsia="zh-CN"/>
        </w:rPr>
        <w:t>机构</w:t>
      </w:r>
      <w:r>
        <w:rPr>
          <w:rFonts w:hint="default" w:ascii="Times New Roman" w:hAnsi="Times New Roman" w:eastAsia="仿宋" w:cs="Times New Roman"/>
          <w:sz w:val="30"/>
          <w:szCs w:val="30"/>
          <w:highlight w:val="none"/>
        </w:rPr>
        <w:t>应按以下内容对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进行评价：</w:t>
      </w:r>
    </w:p>
    <w:p>
      <w:pPr>
        <w:numPr>
          <w:ilvl w:val="0"/>
          <w:numId w:val="0"/>
        </w:numPr>
        <w:ind w:left="0" w:firstLine="600" w:firstLineChars="20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val="en-US" w:eastAsia="zh-CN"/>
        </w:rPr>
        <w:t>1</w:t>
      </w:r>
      <w:r>
        <w:rPr>
          <w:rFonts w:hint="eastAsia" w:ascii="Times New Roman" w:hAnsi="Times New Roman" w:eastAsia="仿宋" w:cs="Times New Roman"/>
          <w:sz w:val="30"/>
          <w:szCs w:val="30"/>
          <w:highlight w:val="none"/>
          <w:lang w:val="en-US" w:eastAsia="zh-CN"/>
        </w:rPr>
        <w:t>.对企业是否存在</w:t>
      </w:r>
      <w:r>
        <w:rPr>
          <w:rFonts w:hint="eastAsia" w:ascii="Times New Roman" w:hAnsi="Times New Roman" w:eastAsia="仿宋" w:cs="Times New Roman"/>
          <w:sz w:val="30"/>
          <w:szCs w:val="30"/>
          <w:highlight w:val="none"/>
        </w:rPr>
        <w:t>《绿色工厂梯度培育及管理暂行办法》</w:t>
      </w:r>
      <w:r>
        <w:rPr>
          <w:rFonts w:hint="eastAsia" w:ascii="Times New Roman" w:hAnsi="Times New Roman" w:eastAsia="仿宋" w:cs="Times New Roman"/>
          <w:sz w:val="30"/>
          <w:szCs w:val="30"/>
          <w:highlight w:val="none"/>
          <w:lang w:val="en-US" w:eastAsia="zh-CN"/>
        </w:rPr>
        <w:t>中所列</w:t>
      </w:r>
      <w:r>
        <w:rPr>
          <w:rFonts w:hint="default" w:ascii="Times New Roman" w:hAnsi="Times New Roman" w:eastAsia="仿宋" w:cs="Times New Roman"/>
          <w:sz w:val="30"/>
          <w:szCs w:val="30"/>
          <w:highlight w:val="none"/>
        </w:rPr>
        <w:t>否决条件</w:t>
      </w:r>
      <w:r>
        <w:rPr>
          <w:rFonts w:hint="eastAsia" w:ascii="Times New Roman" w:hAnsi="Times New Roman" w:eastAsia="仿宋" w:cs="Times New Roman"/>
          <w:sz w:val="30"/>
          <w:szCs w:val="30"/>
          <w:highlight w:val="none"/>
          <w:lang w:val="en-US" w:eastAsia="zh-CN"/>
        </w:rPr>
        <w:t>的评价情况；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lang w:val="en-US" w:eastAsia="zh-CN"/>
        </w:rPr>
        <w:t>对企业</w:t>
      </w:r>
      <w:r>
        <w:rPr>
          <w:rFonts w:hint="eastAsia" w:ascii="Times New Roman" w:hAnsi="Times New Roman" w:eastAsia="仿宋" w:cs="Times New Roman"/>
          <w:sz w:val="30"/>
          <w:szCs w:val="30"/>
          <w:highlight w:val="none"/>
          <w:lang w:val="en-US" w:eastAsia="zh-CN"/>
        </w:rPr>
        <w:t>是否符合《绿色供应链管理企业评价要求》中</w:t>
      </w:r>
      <w:r>
        <w:rPr>
          <w:rFonts w:hint="default" w:ascii="Times New Roman" w:hAnsi="Times New Roman" w:eastAsia="仿宋" w:cs="Times New Roman"/>
          <w:sz w:val="30"/>
          <w:szCs w:val="30"/>
          <w:highlight w:val="none"/>
          <w:lang w:val="en-US" w:eastAsia="zh-CN"/>
        </w:rPr>
        <w:t>基本要求的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p>
    <w:p>
      <w:pPr>
        <w:numPr>
          <w:ilvl w:val="0"/>
          <w:numId w:val="0"/>
        </w:numPr>
        <w:ind w:left="0"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3.</w:t>
      </w: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绿色供应链管理战略、实施绿色供应商管理、绿色生产、绿色回收、绿色信息平台建设、绿色信息披露等方面内容</w:t>
      </w:r>
      <w:r>
        <w:rPr>
          <w:rFonts w:hint="default" w:ascii="Times New Roman" w:hAnsi="Times New Roman" w:eastAsia="仿宋" w:cs="Times New Roman"/>
          <w:sz w:val="30"/>
          <w:szCs w:val="30"/>
          <w:highlight w:val="none"/>
          <w:lang w:val="en-US" w:eastAsia="zh-CN"/>
        </w:rPr>
        <w:t>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r>
        <w:rPr>
          <w:rFonts w:hint="eastAsia" w:ascii="Times New Roman" w:hAnsi="Times New Roman" w:eastAsia="仿宋" w:cs="Times New Roman"/>
          <w:sz w:val="30"/>
          <w:szCs w:val="30"/>
          <w:highlight w:val="none"/>
          <w:lang w:val="en-US" w:eastAsia="zh-CN"/>
        </w:rPr>
        <w:t>；</w:t>
      </w:r>
    </w:p>
    <w:p>
      <w:pPr>
        <w:pStyle w:val="4"/>
        <w:rPr>
          <w:rFonts w:hint="default" w:eastAsia="仿宋"/>
          <w:highlight w:val="none"/>
          <w:lang w:val="en-US" w:eastAsia="zh-CN"/>
        </w:rPr>
      </w:pPr>
      <w:r>
        <w:rPr>
          <w:rFonts w:hint="eastAsia" w:ascii="Times New Roman" w:hAnsi="Times New Roman" w:eastAsia="仿宋" w:cs="Times New Roman"/>
          <w:sz w:val="30"/>
          <w:szCs w:val="30"/>
          <w:highlight w:val="none"/>
          <w:lang w:val="en-US" w:eastAsia="zh-CN"/>
        </w:rPr>
        <w:t xml:space="preserve">    4.</w:t>
      </w:r>
      <w:r>
        <w:rPr>
          <w:rFonts w:hint="default" w:ascii="Times New Roman" w:hAnsi="Times New Roman" w:eastAsia="仿宋" w:cs="Times New Roman"/>
          <w:sz w:val="30"/>
          <w:szCs w:val="30"/>
          <w:highlight w:val="none"/>
        </w:rPr>
        <w:t>列出</w:t>
      </w:r>
      <w:r>
        <w:rPr>
          <w:rFonts w:hint="eastAsia" w:ascii="Times New Roman" w:hAnsi="Times New Roman" w:eastAsia="仿宋" w:cs="Times New Roman"/>
          <w:sz w:val="30"/>
          <w:szCs w:val="30"/>
          <w:highlight w:val="none"/>
          <w:lang w:eastAsia="zh-CN"/>
        </w:rPr>
        <w:t>企业</w:t>
      </w:r>
      <w:r>
        <w:rPr>
          <w:rFonts w:hint="default" w:ascii="Times New Roman" w:hAnsi="Times New Roman" w:eastAsia="仿宋" w:cs="Times New Roman"/>
          <w:sz w:val="30"/>
          <w:szCs w:val="30"/>
          <w:highlight w:val="none"/>
          <w:lang w:val="en-US" w:eastAsia="zh-CN"/>
        </w:rPr>
        <w:t>开展“碳足迹核算”情况</w:t>
      </w:r>
      <w:r>
        <w:rPr>
          <w:rFonts w:hint="eastAsia" w:ascii="Times New Roman" w:hAnsi="Times New Roman" w:eastAsia="仿宋" w:cs="Times New Roman"/>
          <w:sz w:val="30"/>
          <w:szCs w:val="30"/>
          <w:highlight w:val="none"/>
          <w:lang w:val="en-US" w:eastAsia="zh-CN"/>
        </w:rPr>
        <w:t>（加分项）。</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是否符合绿色</w:t>
      </w:r>
      <w:r>
        <w:rPr>
          <w:rFonts w:hint="default" w:ascii="Times New Roman" w:hAnsi="Times New Roman" w:eastAsia="仿宋" w:cs="Times New Roman"/>
          <w:sz w:val="30"/>
          <w:szCs w:val="30"/>
          <w:highlight w:val="none"/>
          <w:lang w:val="en-US" w:eastAsia="zh-CN"/>
        </w:rPr>
        <w:t>供应链管理评价</w:t>
      </w:r>
      <w:r>
        <w:rPr>
          <w:rFonts w:hint="default" w:ascii="Times New Roman" w:hAnsi="Times New Roman" w:eastAsia="仿宋" w:cs="Times New Roman"/>
          <w:sz w:val="30"/>
          <w:szCs w:val="30"/>
          <w:highlight w:val="none"/>
        </w:rPr>
        <w:t>要求进行</w:t>
      </w:r>
      <w:r>
        <w:rPr>
          <w:rFonts w:hint="eastAsia" w:ascii="Times New Roman" w:hAnsi="Times New Roman" w:eastAsia="仿宋" w:cs="Times New Roman"/>
          <w:sz w:val="30"/>
          <w:szCs w:val="30"/>
          <w:highlight w:val="none"/>
          <w:lang w:val="en-US" w:eastAsia="zh-CN"/>
        </w:rPr>
        <w:t>总体</w:t>
      </w:r>
      <w:r>
        <w:rPr>
          <w:rFonts w:hint="default" w:ascii="Times New Roman" w:hAnsi="Times New Roman" w:eastAsia="仿宋" w:cs="Times New Roman"/>
          <w:sz w:val="30"/>
          <w:szCs w:val="30"/>
          <w:highlight w:val="none"/>
        </w:rPr>
        <w:t>评价，给出评价得分，描述主要创建做法、工作亮点和仍存在的问题等。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黑体" w:cs="Times New Roman"/>
          <w:bCs/>
          <w:sz w:val="32"/>
          <w:szCs w:val="32"/>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持续创建绿色</w:t>
      </w:r>
      <w:r>
        <w:rPr>
          <w:rFonts w:hint="default" w:ascii="Times New Roman" w:hAnsi="Times New Roman" w:eastAsia="仿宋" w:cs="Times New Roman"/>
          <w:sz w:val="30"/>
          <w:szCs w:val="30"/>
          <w:highlight w:val="none"/>
          <w:lang w:val="en-US" w:eastAsia="zh-CN"/>
        </w:rPr>
        <w:t>供应链管理企业</w:t>
      </w:r>
      <w:r>
        <w:rPr>
          <w:rFonts w:hint="default" w:ascii="Times New Roman" w:hAnsi="Times New Roman" w:eastAsia="仿宋" w:cs="Times New Roman"/>
          <w:sz w:val="30"/>
          <w:szCs w:val="30"/>
          <w:highlight w:val="none"/>
        </w:rPr>
        <w:t>的下一步工作提出建议。</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六</w:t>
      </w:r>
      <w:r>
        <w:rPr>
          <w:rFonts w:hint="default" w:ascii="Times New Roman" w:hAnsi="Times New Roman" w:eastAsia="黑体" w:cs="Times New Roman"/>
          <w:bCs/>
          <w:sz w:val="32"/>
          <w:szCs w:val="32"/>
          <w:highlight w:val="none"/>
        </w:rPr>
        <w:t>、参考文件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1.3</w:t>
      </w:r>
      <w:r>
        <w:rPr>
          <w:rFonts w:hint="default" w:ascii="Times New Roman" w:hAnsi="Times New Roman" w:eastAsia="仿宋" w:cs="Times New Roman"/>
          <w:sz w:val="30"/>
          <w:szCs w:val="30"/>
          <w:highlight w:val="none"/>
          <w:lang w:val="en-US" w:eastAsia="zh-CN"/>
        </w:rPr>
        <w:t>.1及附表</w:t>
      </w:r>
      <w:r>
        <w:rPr>
          <w:rFonts w:hint="eastAsia" w:ascii="Times New Roman" w:hAnsi="Times New Roman" w:eastAsia="仿宋" w:cs="Times New Roman"/>
          <w:sz w:val="30"/>
          <w:szCs w:val="30"/>
          <w:highlight w:val="none"/>
          <w:lang w:val="en-US" w:eastAsia="zh-CN"/>
        </w:rPr>
        <w:t>1.3</w:t>
      </w: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七</w:t>
      </w:r>
      <w:r>
        <w:rPr>
          <w:rFonts w:hint="default" w:ascii="Times New Roman" w:hAnsi="Times New Roman" w:eastAsia="黑体" w:cs="Times New Roman"/>
          <w:bCs/>
          <w:sz w:val="32"/>
          <w:szCs w:val="32"/>
          <w:highlight w:val="none"/>
        </w:rPr>
        <w:t>、第三方机构资质符合性证明材料</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列出第三方机构满足条件的资质符合性证明材料。</w:t>
      </w:r>
    </w:p>
    <w:p>
      <w:pPr>
        <w:spacing w:after="0" w:afterLines="-2147483648" w:line="240" w:lineRule="auto"/>
        <w:jc w:val="left"/>
        <w:rPr>
          <w:rFonts w:hint="default" w:ascii="Times New Roman" w:hAnsi="Times New Roman" w:eastAsia="仿宋" w:cs="Times New Roman"/>
          <w:bCs w:val="0"/>
          <w:sz w:val="30"/>
          <w:szCs w:val="30"/>
          <w:highlight w:val="none"/>
          <w:lang w:val="en-US" w:eastAsia="zh-CN"/>
        </w:rPr>
      </w:pPr>
      <w:r>
        <w:rPr>
          <w:rFonts w:hint="default" w:ascii="Times New Roman" w:hAnsi="Times New Roman" w:eastAsia="仿宋" w:cs="Times New Roman"/>
          <w:bCs w:val="0"/>
          <w:sz w:val="30"/>
          <w:szCs w:val="30"/>
          <w:highlight w:val="none"/>
          <w:lang w:val="en-US" w:eastAsia="zh-CN"/>
        </w:rPr>
        <w:br w:type="page"/>
      </w:r>
    </w:p>
    <w:p>
      <w:pPr>
        <w:spacing w:after="0" w:afterLines="-2147483648" w:line="240" w:lineRule="auto"/>
        <w:jc w:val="left"/>
        <w:rPr>
          <w:rFonts w:hint="default" w:ascii="Times New Roman" w:hAnsi="Times New Roman" w:eastAsia="仿宋" w:cs="Times New Roman"/>
          <w:bCs w:val="0"/>
          <w:sz w:val="30"/>
          <w:szCs w:val="30"/>
          <w:highlight w:val="none"/>
          <w:lang w:val="en-US" w:eastAsia="zh-CN"/>
        </w:rPr>
      </w:pPr>
      <w:r>
        <w:rPr>
          <w:rFonts w:hint="default" w:ascii="Times New Roman" w:hAnsi="Times New Roman" w:eastAsia="仿宋" w:cs="Times New Roman"/>
          <w:bCs w:val="0"/>
          <w:sz w:val="30"/>
          <w:szCs w:val="30"/>
          <w:highlight w:val="none"/>
          <w:lang w:val="en-US" w:eastAsia="zh-CN"/>
        </w:rPr>
        <w:t>附表</w:t>
      </w:r>
      <w:r>
        <w:rPr>
          <w:rFonts w:hint="eastAsia" w:ascii="Times New Roman" w:hAnsi="Times New Roman" w:eastAsia="仿宋" w:cs="Times New Roman"/>
          <w:bCs w:val="0"/>
          <w:sz w:val="30"/>
          <w:szCs w:val="30"/>
          <w:highlight w:val="none"/>
          <w:lang w:val="en-US" w:eastAsia="zh-CN"/>
        </w:rPr>
        <w:t>6.1</w:t>
      </w:r>
    </w:p>
    <w:p>
      <w:pPr>
        <w:spacing w:after="156" w:afterLines="50"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绿色供应链管理</w:t>
      </w:r>
      <w:r>
        <w:rPr>
          <w:rFonts w:hint="default" w:ascii="Times New Roman" w:hAnsi="Times New Roman" w:eastAsia="黑体" w:cs="Times New Roman"/>
          <w:bCs/>
          <w:sz w:val="32"/>
          <w:szCs w:val="32"/>
          <w:highlight w:val="none"/>
          <w:lang w:eastAsia="zh-CN"/>
        </w:rPr>
        <w:t>企业</w:t>
      </w:r>
      <w:r>
        <w:rPr>
          <w:rFonts w:hint="default" w:ascii="Times New Roman" w:hAnsi="Times New Roman" w:eastAsia="黑体" w:cs="Times New Roman"/>
          <w:bCs/>
          <w:sz w:val="32"/>
          <w:szCs w:val="32"/>
          <w:highlight w:val="none"/>
        </w:rPr>
        <w:t>一般要求符合性评价表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217"/>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4219" w:type="dxa"/>
            <w:vAlign w:val="center"/>
          </w:tcPr>
          <w:p>
            <w:pPr>
              <w:adjustRightInd w:val="0"/>
              <w:snapToGri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一般要求</w:t>
            </w:r>
          </w:p>
        </w:tc>
        <w:tc>
          <w:tcPr>
            <w:tcW w:w="2217" w:type="dxa"/>
            <w:vAlign w:val="center"/>
          </w:tcPr>
          <w:p>
            <w:pPr>
              <w:adjustRightInd w:val="0"/>
              <w:snapToGri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是否符合</w:t>
            </w:r>
          </w:p>
        </w:tc>
        <w:tc>
          <w:tcPr>
            <w:tcW w:w="2086" w:type="dxa"/>
            <w:vAlign w:val="center"/>
          </w:tcPr>
          <w:p>
            <w:pPr>
              <w:adjustRightInd w:val="0"/>
              <w:snapToGri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219" w:type="dxa"/>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具有独立法人资格</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219" w:type="dxa"/>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具有较强的行业影响力</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4219" w:type="dxa"/>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具有较完善的能源资源、环境管理体系，各项管理制度健全，符合国家和地方的法律法规及标准规范要求，近三年无重大安全和环境污染事故</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4219" w:type="dxa"/>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拥有数量众多的供应商，在供应商中有很强的影响力，与上下游供应商建立良好的合作关系</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4219" w:type="dxa"/>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有完善的供应商管理体系，建立健全的供应商认证、选择、审核、绩效管理和退出机制</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4219" w:type="dxa"/>
            <w:tcBorders>
              <w:bottom w:val="single" w:color="auto" w:sz="4" w:space="0"/>
            </w:tcBorders>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有健全的财务管理制度，销售盈利能力处于行业领先水平</w:t>
            </w:r>
            <w:r>
              <w:rPr>
                <w:rFonts w:hint="default" w:ascii="Times New Roman" w:hAnsi="Times New Roman" w:eastAsia="仿宋" w:cs="Times New Roman"/>
                <w:kern w:val="0"/>
                <w:sz w:val="24"/>
                <w:szCs w:val="24"/>
                <w:highlight w:val="none"/>
                <w:lang w:eastAsia="zh-CN"/>
              </w:rPr>
              <w:t>。</w:t>
            </w:r>
          </w:p>
        </w:tc>
        <w:tc>
          <w:tcPr>
            <w:tcW w:w="2217" w:type="dxa"/>
            <w:tcBorders>
              <w:bottom w:val="single" w:color="auto" w:sz="4" w:space="0"/>
            </w:tcBorders>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tcBorders>
              <w:bottom w:val="single" w:color="auto" w:sz="4" w:space="0"/>
            </w:tcBorders>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4219" w:type="dxa"/>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对实施绿色供应链管理有明确的工作目标、思路、计划和措施</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bl>
    <w:p>
      <w:pPr>
        <w:widowControl/>
        <w:jc w:val="left"/>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br w:type="page"/>
      </w:r>
    </w:p>
    <w:p>
      <w:pPr>
        <w:spacing w:after="0" w:afterLines="-2147483648" w:line="240" w:lineRule="auto"/>
        <w:jc w:val="left"/>
        <w:rPr>
          <w:rFonts w:hint="default" w:ascii="Times New Roman" w:hAnsi="Times New Roman" w:eastAsia="仿宋" w:cs="Times New Roman"/>
          <w:bCs w:val="0"/>
          <w:sz w:val="30"/>
          <w:szCs w:val="30"/>
          <w:highlight w:val="none"/>
          <w:lang w:val="en-US" w:eastAsia="zh-CN"/>
        </w:rPr>
      </w:pPr>
      <w:r>
        <w:rPr>
          <w:rFonts w:hint="default" w:ascii="Times New Roman" w:hAnsi="Times New Roman" w:eastAsia="仿宋" w:cs="Times New Roman"/>
          <w:bCs w:val="0"/>
          <w:sz w:val="30"/>
          <w:szCs w:val="30"/>
          <w:highlight w:val="none"/>
          <w:lang w:val="en-US" w:eastAsia="zh-CN"/>
        </w:rPr>
        <w:t>附表</w:t>
      </w:r>
      <w:r>
        <w:rPr>
          <w:rFonts w:hint="eastAsia" w:ascii="Times New Roman" w:hAnsi="Times New Roman" w:eastAsia="仿宋" w:cs="Times New Roman"/>
          <w:bCs w:val="0"/>
          <w:sz w:val="30"/>
          <w:szCs w:val="30"/>
          <w:highlight w:val="none"/>
          <w:lang w:val="en-US" w:eastAsia="zh-CN"/>
        </w:rPr>
        <w:t>6</w:t>
      </w:r>
      <w:r>
        <w:rPr>
          <w:rFonts w:hint="default" w:ascii="Times New Roman" w:hAnsi="Times New Roman" w:eastAsia="仿宋" w:cs="Times New Roman"/>
          <w:bCs w:val="0"/>
          <w:sz w:val="30"/>
          <w:szCs w:val="30"/>
          <w:highlight w:val="none"/>
          <w:lang w:val="en-US" w:eastAsia="zh-CN"/>
        </w:rPr>
        <w:t>.</w:t>
      </w:r>
      <w:r>
        <w:rPr>
          <w:rFonts w:hint="eastAsia" w:ascii="Times New Roman" w:hAnsi="Times New Roman" w:eastAsia="仿宋" w:cs="Times New Roman"/>
          <w:bCs w:val="0"/>
          <w:sz w:val="30"/>
          <w:szCs w:val="30"/>
          <w:highlight w:val="none"/>
          <w:lang w:val="en-US" w:eastAsia="zh-CN"/>
        </w:rPr>
        <w:t>2</w:t>
      </w:r>
    </w:p>
    <w:p>
      <w:pPr>
        <w:widowControl/>
        <w:autoSpaceDE/>
        <w:autoSpaceDN/>
        <w:adjustRightInd/>
        <w:jc w:val="center"/>
        <w:rPr>
          <w:rFonts w:hint="default" w:ascii="Times New Roman" w:hAnsi="Times New Roman" w:eastAsia="仿宋_GB2312" w:cs="Times New Roman"/>
          <w:b/>
          <w:kern w:val="0"/>
          <w:sz w:val="30"/>
          <w:szCs w:val="30"/>
          <w:highlight w:val="none"/>
        </w:rPr>
      </w:pPr>
      <w:r>
        <w:rPr>
          <w:rFonts w:hint="default" w:ascii="Times New Roman" w:hAnsi="Times New Roman" w:eastAsia="黑体" w:cs="Times New Roman"/>
          <w:bCs/>
          <w:sz w:val="32"/>
          <w:szCs w:val="32"/>
          <w:highlight w:val="none"/>
        </w:rPr>
        <w:t>绿色供应链管理</w:t>
      </w:r>
      <w:r>
        <w:rPr>
          <w:rFonts w:hint="default" w:ascii="Times New Roman" w:hAnsi="Times New Roman" w:eastAsia="黑体" w:cs="Times New Roman"/>
          <w:bCs/>
          <w:sz w:val="32"/>
          <w:szCs w:val="32"/>
          <w:highlight w:val="none"/>
          <w:lang w:eastAsia="zh-CN"/>
        </w:rPr>
        <w:t>企业</w:t>
      </w:r>
      <w:r>
        <w:rPr>
          <w:rFonts w:hint="default" w:ascii="Times New Roman" w:hAnsi="Times New Roman" w:eastAsia="黑体" w:cs="Times New Roman"/>
          <w:bCs/>
          <w:sz w:val="32"/>
          <w:szCs w:val="32"/>
          <w:highlight w:val="none"/>
        </w:rPr>
        <w:t>评价指标体系</w:t>
      </w:r>
      <w:r>
        <w:rPr>
          <w:rFonts w:hint="default" w:ascii="Times New Roman" w:hAnsi="Times New Roman" w:eastAsia="仿宋_GB2312" w:cs="Times New Roman"/>
          <w:b/>
          <w:kern w:val="0"/>
          <w:sz w:val="30"/>
          <w:szCs w:val="30"/>
          <w:highlight w:val="none"/>
        </w:rPr>
        <w:t>（20  年）</w:t>
      </w:r>
    </w:p>
    <w:tbl>
      <w:tblPr>
        <w:tblStyle w:val="11"/>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28"/>
        <w:gridCol w:w="3601"/>
        <w:gridCol w:w="719"/>
        <w:gridCol w:w="840"/>
        <w:gridCol w:w="1285"/>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一级指标</w:t>
            </w:r>
          </w:p>
        </w:tc>
        <w:tc>
          <w:tcPr>
            <w:tcW w:w="728"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序号</w:t>
            </w:r>
          </w:p>
        </w:tc>
        <w:tc>
          <w:tcPr>
            <w:tcW w:w="3601"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二级指标</w:t>
            </w:r>
          </w:p>
        </w:tc>
        <w:tc>
          <w:tcPr>
            <w:tcW w:w="719"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单位</w:t>
            </w:r>
          </w:p>
        </w:tc>
        <w:tc>
          <w:tcPr>
            <w:tcW w:w="840"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最高分值</w:t>
            </w:r>
          </w:p>
        </w:tc>
        <w:tc>
          <w:tcPr>
            <w:tcW w:w="1285"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b/>
                <w:bCs/>
                <w:sz w:val="24"/>
                <w:szCs w:val="24"/>
                <w:highlight w:val="none"/>
                <w:lang w:val="en-US" w:eastAsia="zh-CN"/>
              </w:rPr>
              <w:t>符</w:t>
            </w:r>
            <w:r>
              <w:rPr>
                <w:rFonts w:hint="default" w:ascii="Times New Roman" w:hAnsi="Times New Roman" w:eastAsia="仿宋" w:cs="Times New Roman"/>
                <w:b/>
                <w:bCs/>
                <w:sz w:val="24"/>
                <w:szCs w:val="24"/>
                <w:highlight w:val="none"/>
              </w:rPr>
              <w:t>合性说明及证明材料索引</w:t>
            </w:r>
          </w:p>
        </w:tc>
        <w:tc>
          <w:tcPr>
            <w:tcW w:w="804"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绿色供应链管理</w:t>
            </w:r>
          </w:p>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战略X1</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纳入公司发展规划X11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8</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制定绿色供应链管理目标X12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设置专门管理机构X13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实施绿色供应商</w:t>
            </w:r>
          </w:p>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管理X2</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绿色采购标准制度完善X21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供应商认证体系完善X22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对供应商定期审核X23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7</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供应商绩效评估制度健全X24</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8</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定期对供应商进行培训X25</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9</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低风险供应商占比X26</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绿色生产X3</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节能减排环保合规X31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11</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符合有害物质限制使用管理办法X32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绿色回收X4</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12</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产品回收率X41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13</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包装回收率X42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14</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回收体系完善（含自建、与第三方联合回收）X43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15</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指导下游企业回收拆解X44</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绿色信息平台建设X5</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16</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绿色供应链管理信息平台完善X51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绿色信息披露X6</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17</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披露企业节能减排减碳信息X61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18</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披露高、中风险供应商审核率及低风险供应商占比X62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19</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披露供应商节能减排信息X63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20</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发布企业社会责任报告（含绿色采购信息）X64</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Align w:val="center"/>
          </w:tcPr>
          <w:p>
            <w:pPr>
              <w:jc w:val="center"/>
              <w:rPr>
                <w:rFonts w:hint="eastAsia"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加分项</w:t>
            </w:r>
          </w:p>
        </w:tc>
        <w:tc>
          <w:tcPr>
            <w:tcW w:w="4329" w:type="dxa"/>
            <w:gridSpan w:val="2"/>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“碳足迹核算”情况</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eastAsia"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bl>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注：电子电器、机械、汽车行业</w:t>
      </w:r>
      <w:r>
        <w:rPr>
          <w:rFonts w:hint="eastAsia" w:ascii="Times New Roman" w:hAnsi="Times New Roman" w:eastAsia="仿宋" w:cs="Times New Roman"/>
          <w:kern w:val="0"/>
          <w:sz w:val="24"/>
          <w:szCs w:val="24"/>
          <w:highlight w:val="none"/>
          <w:lang w:val="en-US" w:eastAsia="zh-CN"/>
        </w:rPr>
        <w:t>请</w:t>
      </w:r>
      <w:r>
        <w:rPr>
          <w:rFonts w:hint="default" w:ascii="Times New Roman" w:hAnsi="Times New Roman" w:eastAsia="仿宋" w:cs="Times New Roman"/>
          <w:kern w:val="0"/>
          <w:sz w:val="24"/>
          <w:szCs w:val="24"/>
          <w:highlight w:val="none"/>
        </w:rPr>
        <w:t>根据“绿色供应链管理评价标准清单”中的指标体系自行设计该表格</w:t>
      </w:r>
      <w:r>
        <w:rPr>
          <w:rFonts w:hint="eastAsia" w:ascii="Times New Roman" w:hAnsi="Times New Roman" w:eastAsia="仿宋" w:cs="Times New Roman"/>
          <w:kern w:val="0"/>
          <w:sz w:val="24"/>
          <w:szCs w:val="24"/>
          <w:highlight w:val="none"/>
          <w:lang w:eastAsia="zh-CN"/>
        </w:rPr>
        <w:t>。</w:t>
      </w:r>
    </w:p>
    <w:p>
      <w:pPr>
        <w:rPr>
          <w:rFonts w:hint="default"/>
          <w:lang w:val="en-US" w:eastAsia="zh-CN"/>
        </w:rPr>
      </w:pPr>
    </w:p>
    <w:sectPr>
      <w:footerReference r:id="rId4" w:type="default"/>
      <w:pgSz w:w="11906" w:h="16838"/>
      <w:pgMar w:top="1701"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简体">
    <w:altName w:val="方正仿宋_GBK"/>
    <w:panose1 w:val="02000000000000000000"/>
    <w:charset w:val="86"/>
    <w:family w:val="auto"/>
    <w:pitch w:val="default"/>
    <w:sig w:usb0="00000000" w:usb1="00000000" w:usb2="00000012" w:usb3="00000000" w:csb0="00040001" w:csb1="00000000"/>
  </w:font>
  <w:font w:name="Wingdings 2">
    <w:panose1 w:val="05020102010507070707"/>
    <w:charset w:val="02"/>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NmFkYjM2ZjVlNjlhYTExODFlMTExZDY5YzQ0NzkifQ=="/>
  </w:docVars>
  <w:rsids>
    <w:rsidRoot w:val="048206D0"/>
    <w:rsid w:val="032B1364"/>
    <w:rsid w:val="048206D0"/>
    <w:rsid w:val="074070D9"/>
    <w:rsid w:val="07D84032"/>
    <w:rsid w:val="09FDF9E4"/>
    <w:rsid w:val="0A60366D"/>
    <w:rsid w:val="0B0541D3"/>
    <w:rsid w:val="0B1C3A38"/>
    <w:rsid w:val="0C076962"/>
    <w:rsid w:val="0C636059"/>
    <w:rsid w:val="0F8B5349"/>
    <w:rsid w:val="0FD37A7A"/>
    <w:rsid w:val="11773445"/>
    <w:rsid w:val="147A0D4D"/>
    <w:rsid w:val="1496293B"/>
    <w:rsid w:val="14C84877"/>
    <w:rsid w:val="16AB0D93"/>
    <w:rsid w:val="19456FFF"/>
    <w:rsid w:val="19C836B0"/>
    <w:rsid w:val="1B47424D"/>
    <w:rsid w:val="1CCB7DF1"/>
    <w:rsid w:val="1DAA6CCD"/>
    <w:rsid w:val="1F3C7DAD"/>
    <w:rsid w:val="21B967B4"/>
    <w:rsid w:val="23B550DA"/>
    <w:rsid w:val="2ADFEC52"/>
    <w:rsid w:val="2E9ECEED"/>
    <w:rsid w:val="2FAE4E12"/>
    <w:rsid w:val="2FB3C4D6"/>
    <w:rsid w:val="30DD30CD"/>
    <w:rsid w:val="30E6689F"/>
    <w:rsid w:val="31276A68"/>
    <w:rsid w:val="32704B72"/>
    <w:rsid w:val="36F4DDFD"/>
    <w:rsid w:val="373AA113"/>
    <w:rsid w:val="375E188C"/>
    <w:rsid w:val="3ABB2BCE"/>
    <w:rsid w:val="3B921FD3"/>
    <w:rsid w:val="3C682315"/>
    <w:rsid w:val="3DB34366"/>
    <w:rsid w:val="3DB66D2A"/>
    <w:rsid w:val="3DF775A7"/>
    <w:rsid w:val="3FFBD32F"/>
    <w:rsid w:val="41732585"/>
    <w:rsid w:val="41B55E5D"/>
    <w:rsid w:val="41CC1D83"/>
    <w:rsid w:val="42CE2C30"/>
    <w:rsid w:val="43541944"/>
    <w:rsid w:val="44CD4625"/>
    <w:rsid w:val="45D47A8E"/>
    <w:rsid w:val="47EC843E"/>
    <w:rsid w:val="47F59F66"/>
    <w:rsid w:val="4951687B"/>
    <w:rsid w:val="4CBF5AEF"/>
    <w:rsid w:val="4D151503"/>
    <w:rsid w:val="4E7BFAD8"/>
    <w:rsid w:val="4F242A1C"/>
    <w:rsid w:val="4F4B4FFB"/>
    <w:rsid w:val="546F301C"/>
    <w:rsid w:val="56DD85F3"/>
    <w:rsid w:val="57AEBA78"/>
    <w:rsid w:val="57FC262A"/>
    <w:rsid w:val="58DB9654"/>
    <w:rsid w:val="59056E93"/>
    <w:rsid w:val="59810D9E"/>
    <w:rsid w:val="5BF66209"/>
    <w:rsid w:val="5D8911C8"/>
    <w:rsid w:val="5F79FE19"/>
    <w:rsid w:val="5F7F8C6C"/>
    <w:rsid w:val="635E7967"/>
    <w:rsid w:val="641F5E4B"/>
    <w:rsid w:val="67393480"/>
    <w:rsid w:val="677E611A"/>
    <w:rsid w:val="6BBFCBBA"/>
    <w:rsid w:val="6DBC9B2F"/>
    <w:rsid w:val="6EF055FA"/>
    <w:rsid w:val="72224F2D"/>
    <w:rsid w:val="7326A85A"/>
    <w:rsid w:val="734764DA"/>
    <w:rsid w:val="756A30EE"/>
    <w:rsid w:val="758DA529"/>
    <w:rsid w:val="77615F32"/>
    <w:rsid w:val="77CF43D9"/>
    <w:rsid w:val="77D45B61"/>
    <w:rsid w:val="78002119"/>
    <w:rsid w:val="7857132C"/>
    <w:rsid w:val="78AFCAE2"/>
    <w:rsid w:val="79130D4C"/>
    <w:rsid w:val="797A042B"/>
    <w:rsid w:val="79FF99B4"/>
    <w:rsid w:val="7AB41F05"/>
    <w:rsid w:val="7AB7ABF1"/>
    <w:rsid w:val="7BF75552"/>
    <w:rsid w:val="7CFFA207"/>
    <w:rsid w:val="7D156AB6"/>
    <w:rsid w:val="7D79A99F"/>
    <w:rsid w:val="7DB56593"/>
    <w:rsid w:val="7DFB449B"/>
    <w:rsid w:val="7EFEA330"/>
    <w:rsid w:val="7F3DBACA"/>
    <w:rsid w:val="7F536244"/>
    <w:rsid w:val="7F6F2B4E"/>
    <w:rsid w:val="7F6F6AB4"/>
    <w:rsid w:val="7FD20F59"/>
    <w:rsid w:val="7FD3CA3A"/>
    <w:rsid w:val="7FDE5079"/>
    <w:rsid w:val="7FEC09F4"/>
    <w:rsid w:val="7FF7570B"/>
    <w:rsid w:val="7FFF536C"/>
    <w:rsid w:val="977B07B2"/>
    <w:rsid w:val="9F390D99"/>
    <w:rsid w:val="9F3F5097"/>
    <w:rsid w:val="B77F3157"/>
    <w:rsid w:val="B7F76331"/>
    <w:rsid w:val="B9DFE71A"/>
    <w:rsid w:val="BBFB337C"/>
    <w:rsid w:val="BBFD2202"/>
    <w:rsid w:val="BCFCB901"/>
    <w:rsid w:val="BF7D695E"/>
    <w:rsid w:val="BF8733BA"/>
    <w:rsid w:val="BF9F656B"/>
    <w:rsid w:val="BFDDD732"/>
    <w:rsid w:val="BFEB0C01"/>
    <w:rsid w:val="C5ED9BA5"/>
    <w:rsid w:val="C7F94806"/>
    <w:rsid w:val="D3FE5AA1"/>
    <w:rsid w:val="D5CFD378"/>
    <w:rsid w:val="D8FE2EC9"/>
    <w:rsid w:val="DB4DA0F3"/>
    <w:rsid w:val="DEA832AC"/>
    <w:rsid w:val="DEBC01F0"/>
    <w:rsid w:val="DFBA756F"/>
    <w:rsid w:val="DFBCD8D7"/>
    <w:rsid w:val="DFFBE120"/>
    <w:rsid w:val="E27B61FD"/>
    <w:rsid w:val="E3B4CBE3"/>
    <w:rsid w:val="ECDF1879"/>
    <w:rsid w:val="EFFD227A"/>
    <w:rsid w:val="F07589AE"/>
    <w:rsid w:val="F3BD88C6"/>
    <w:rsid w:val="F47F1B27"/>
    <w:rsid w:val="F75ABC8E"/>
    <w:rsid w:val="F75E7FF3"/>
    <w:rsid w:val="FA177397"/>
    <w:rsid w:val="FAF70C33"/>
    <w:rsid w:val="FBC9F6AF"/>
    <w:rsid w:val="FBF7176A"/>
    <w:rsid w:val="FBFBE067"/>
    <w:rsid w:val="FD6F8147"/>
    <w:rsid w:val="FD7D0F25"/>
    <w:rsid w:val="FDBF3A85"/>
    <w:rsid w:val="FFFCD7B4"/>
    <w:rsid w:val="FFFDBE21"/>
    <w:rsid w:val="FFFFB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after="120"/>
    </w:pPr>
  </w:style>
  <w:style w:type="paragraph" w:styleId="5">
    <w:name w:val="Title"/>
    <w:basedOn w:val="1"/>
    <w:next w:val="1"/>
    <w:qFormat/>
    <w:uiPriority w:val="10"/>
    <w:pPr>
      <w:spacing w:before="240" w:after="60"/>
      <w:jc w:val="center"/>
    </w:pPr>
    <w:rPr>
      <w:rFonts w:eastAsia="方正小标宋简体"/>
      <w:bCs/>
      <w:sz w:val="44"/>
      <w:szCs w:val="32"/>
    </w:rPr>
  </w:style>
  <w:style w:type="paragraph" w:styleId="6">
    <w:name w:val="Body Text Indent"/>
    <w:basedOn w:val="1"/>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FollowedHyperlink"/>
    <w:basedOn w:val="13"/>
    <w:qFormat/>
    <w:uiPriority w:val="0"/>
    <w:rPr>
      <w:color w:val="800080"/>
      <w:u w:val="single"/>
    </w:rPr>
  </w:style>
  <w:style w:type="character" w:styleId="16">
    <w:name w:val="Hyperlink"/>
    <w:basedOn w:val="13"/>
    <w:qFormat/>
    <w:uiPriority w:val="0"/>
    <w:rPr>
      <w:color w:val="0000FF"/>
      <w:u w:val="single"/>
    </w:rPr>
  </w:style>
  <w:style w:type="paragraph" w:customStyle="1" w:styleId="17">
    <w:name w:val="列出段落1"/>
    <w:basedOn w:val="1"/>
    <w:qFormat/>
    <w:uiPriority w:val="34"/>
    <w:pPr>
      <w:ind w:firstLine="420" w:firstLineChars="200"/>
    </w:pPr>
  </w:style>
  <w:style w:type="paragraph" w:customStyle="1" w:styleId="1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9">
    <w:name w:val="列出段落4"/>
    <w:basedOn w:val="1"/>
    <w:qFormat/>
    <w:uiPriority w:val="34"/>
    <w:pPr>
      <w:ind w:firstLine="420" w:firstLineChars="200"/>
    </w:pPr>
  </w:style>
  <w:style w:type="paragraph" w:customStyle="1" w:styleId="20">
    <w:name w:val="List Paragraph"/>
    <w:basedOn w:val="1"/>
    <w:qFormat/>
    <w:uiPriority w:val="34"/>
    <w:pPr>
      <w:widowControl/>
      <w:spacing w:before="100" w:beforeAutospacing="1" w:after="100" w:afterAutospacing="1"/>
      <w:jc w:val="left"/>
    </w:pPr>
    <w:rPr>
      <w:rFonts w:ascii="宋体" w:hAnsi="宋体" w:cs="宋体"/>
      <w:kern w:val="0"/>
      <w:sz w:val="24"/>
    </w:rPr>
  </w:style>
  <w:style w:type="paragraph" w:customStyle="1" w:styleId="21">
    <w:name w:val="TOC 标题1"/>
    <w:basedOn w:val="2"/>
    <w:next w:val="1"/>
    <w:qFormat/>
    <w:uiPriority w:val="99"/>
    <w:pPr>
      <w:widowControl/>
      <w:spacing w:before="240" w:after="0" w:line="259" w:lineRule="auto"/>
      <w:ind w:left="0" w:leftChars="0" w:firstLine="0" w:firstLineChars="0"/>
      <w:jc w:val="left"/>
      <w:outlineLvl w:val="9"/>
    </w:pPr>
    <w:rPr>
      <w:rFonts w:ascii="Cambria" w:hAnsi="Cambria"/>
      <w:b w:val="0"/>
      <w:color w:val="365F91"/>
      <w:kern w:val="0"/>
      <w:sz w:val="32"/>
      <w:szCs w:val="32"/>
    </w:rPr>
  </w:style>
  <w:style w:type="paragraph" w:customStyle="1" w:styleId="22">
    <w:name w:val="正文2"/>
    <w:basedOn w:val="1"/>
    <w:next w:val="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36213</Words>
  <Characters>37893</Characters>
  <Lines>0</Lines>
  <Paragraphs>0</Paragraphs>
  <TotalTime>1058</TotalTime>
  <ScaleCrop>false</ScaleCrop>
  <LinksUpToDate>false</LinksUpToDate>
  <CharactersWithSpaces>39069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2023-03-22T11:53:00Z</dcterms:created>
  <dc:creator>wangjing</dc:creator>
  <cp:lastModifiedBy>uos</cp:lastModifiedBy>
  <cp:lastPrinted>2024-04-17T16:51:28Z</cp:lastPrinted>
  <dcterms:modified xsi:type="dcterms:W3CDTF">2024-04-18T09:14:53Z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2AA23988025A4E76A51B66E10A1C7FF7_13</vt:lpwstr>
  </property>
</Properties>
</file>