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bookmarkStart w:id="2" w:name="_GoBack"/>
      <w:bookmarkEnd w:id="2"/>
    </w:p>
    <w:p>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绿色供应链管理评价要求</w:t>
      </w:r>
    </w:p>
    <w:p>
      <w:pPr>
        <w:rPr>
          <w:rFonts w:hint="default" w:ascii="Times New Roman" w:hAnsi="Times New Roman" w:cs="Times New Roman"/>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（一）定义、目的及范围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绿色供应链是将环境保护和资源节约的理念贯穿于企业从产品设计到原材料采购、生产、运输、储存、销售、使用和报废处理的全过程，使企业的经济活动与环境保护相协调的上下游供应关系。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1、具有独立法人资格；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2、具有较强的行业影响力；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3、具有较完善的能源资源、环境管理体系，各项管理制度健全，符合国家和地方的法律法规及标准规范要求，近三年无重大安全和环境污染事故；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7、对实施绿色供应链管理有明确的工作目标、思路、计划和措施。</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二、企业绿色供应链管理关键环节</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（一）确立可持续的绿色供应链管理战略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（二）实施绿色供应商管理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（三）强化绿色生产</w:t>
      </w:r>
    </w:p>
    <w:p>
      <w:pPr>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（四）建设绿色回收体系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（五）搭建绿色信息收集监测披露平台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企业要建立能源消耗在线监测体系和</w:t>
      </w:r>
      <w:bookmarkStart w:id="0" w:name="OLE_LINK2"/>
      <w:bookmarkStart w:id="1" w:name="OLE_LINK1"/>
      <w:r>
        <w:rPr>
          <w:rFonts w:hint="default" w:ascii="Times New Roman" w:hAnsi="Times New Roman" w:eastAsia="仿宋_GB2312" w:cs="Times New Roman"/>
          <w:bCs/>
          <w:sz w:val="32"/>
          <w:szCs w:val="32"/>
        </w:rPr>
        <w:t>减排监测数据库</w:t>
      </w:r>
      <w:bookmarkEnd w:id="0"/>
      <w:bookmarkEnd w:id="1"/>
      <w:r>
        <w:rPr>
          <w:rFonts w:hint="default" w:ascii="Times New Roman" w:hAnsi="Times New Roman" w:eastAsia="仿宋_GB2312" w:cs="Times New Roman"/>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三、企业绿色供应链管理评价方法</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1、企业绿色供应链管理评价由第三方组织实施。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2、第三方根据绿色供应链管理关键环节，按照评价标准对企业进行实地调查，查阅相关文件、报表、数据等，确保评价结果客观准确。</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（二）评价指标体系</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绿色供应链管理评价指标体系包括绿色供应链管理战略指标、绿色供应商管理指标、绿色生产指标、绿色回收指标、绿色信息平台建设指标、绿色信息披露指标6个方面。具体如表1所示。</w:t>
      </w:r>
    </w:p>
    <w:p>
      <w:pPr>
        <w:ind w:firstLine="640" w:firstLineChars="200"/>
        <w:jc w:val="center"/>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28"/>
          <w:szCs w:val="28"/>
        </w:rPr>
        <w:t>表1  企业绿色供应链管理评价指标体系</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一级指标</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3601"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二级指标</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最高分值</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战略X1</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纳入公司发展规划X11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制定绿色供应链管理目标X12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设置专门管理机构X13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实施绿色供应商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管理X2</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绿色采购标准制度完善X21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供应商认证体系完善X22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对供应商定期审核X23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供应商绩效评估制度健全X24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定期对供应商进行培训X25</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低风险供应商占比X26</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绿色生产X3</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节能减排环保合规X31</w:t>
            </w:r>
          </w:p>
        </w:tc>
        <w:tc>
          <w:tcPr>
            <w:tcW w:w="719" w:type="dxa"/>
            <w:vAlign w:val="center"/>
          </w:tcPr>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1180" w:type="dxa"/>
            <w:vMerge w:val="continue"/>
            <w:vAlign w:val="center"/>
          </w:tcPr>
          <w:p>
            <w:pP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符合有害物质限制使用管理办法X32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绿色回收X4</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产品回收率X41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包装回收率X42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回收体系完善（含自建、与第三方联合回收）X43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指导下游企业回收拆解X44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绿色信息平台建设X5</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绿色供应链管理信息平台完善X51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Merge w:val="restart"/>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绿色信息披露X6</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披露企业节能减排减碳信息X61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披露高、中风险供应商审核率及低风险供应商占比X62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披露供应商节能减排信息X63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发布企业社会责任报告（含绿色采购信息）X64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bl>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（三）绿色供应链评价指数计算方法</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企业绿色供应链管理指数的计算公式如下。</w:t>
      </w:r>
      <w:r>
        <w:rPr>
          <w:rFonts w:hint="default" w:ascii="Times New Roman" w:hAnsi="Times New Roman" w:eastAsia="仿宋_GB2312" w:cs="Times New Roman"/>
          <w:position w:val="-10"/>
          <w:sz w:val="32"/>
          <w:szCs w:val="32"/>
        </w:rPr>
        <w:object>
          <v:shape id="_x0000_i1025" o:spt="75" type="#_x0000_t75" style="height:17pt;width:9pt;" o:ole="t" filled="f" o:preferrelative="t" stroked="f" coordsize="21600,21600">
            <v:path/>
            <v:fill on="f" alignshape="1" focussize="0,0"/>
            <v:stroke on="f"/>
            <v:imagedata r:id="rId8" o:title=""/>
            <o:lock v:ext="edit" aspectratio="t"/>
            <w10:wrap type="none"/>
            <w10:anchorlock/>
          </v:shape>
          <o:OLEObject Type="Embed" ProgID="Equation.3" ShapeID="_x0000_i1025" DrawAspect="Content" ObjectID="_1468075725" r:id="rId7">
            <o:LockedField>false</o:LockedField>
          </o:OLEObject>
        </w:object>
      </w:r>
    </w:p>
    <w:p>
      <w:pPr>
        <w:rPr>
          <w:rFonts w:hint="default" w:ascii="Times New Roman" w:hAnsi="Times New Roman" w:eastAsia="仿宋_GB2312" w:cs="Times New Roman"/>
          <w:sz w:val="32"/>
          <w:szCs w:val="32"/>
        </w:rPr>
      </w:pPr>
      <w:r>
        <w:rPr>
          <w:rFonts w:hint="default" w:ascii="Times New Roman" w:hAnsi="Times New Roman" w:eastAsia="仿宋_GB2312" w:cs="Times New Roman"/>
          <w:position w:val="-30"/>
          <w:sz w:val="32"/>
          <w:szCs w:val="32"/>
        </w:rPr>
        <w:object>
          <v:shape id="_x0000_i1026" o:spt="75" type="#_x0000_t75" style="height:44.35pt;width:410.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default" w:ascii="Times New Roman" w:hAnsi="Times New Roman" w:eastAsia="仿宋_GB2312" w:cs="Times New Roman"/>
          <w:sz w:val="32"/>
          <w:szCs w:val="32"/>
        </w:rPr>
        <w:t>式中</w:t>
      </w:r>
      <w:r>
        <w:rPr>
          <w:rFonts w:hint="default" w:ascii="Times New Roman" w:hAnsi="Times New Roman" w:eastAsia="仿宋_GB2312" w:cs="Times New Roman"/>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 ShapeID="_x0000_s1026" DrawAspect="Content" ObjectID="_1468075727" r:id="rId11">
            <o:LockedField>false</o:LockedField>
          </o:OLEObject>
        </w:pict>
      </w:r>
      <w:r>
        <w:rPr>
          <w:rFonts w:hint="default" w:ascii="Times New Roman" w:hAnsi="Times New Roman" w:eastAsia="仿宋_GB2312" w:cs="Times New Roman"/>
          <w:sz w:val="32"/>
          <w:szCs w:val="32"/>
        </w:rPr>
        <w:t>GSCI为绿色供应链管理指数。</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（四）绿色供应链评价结果</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经评价绿色供应链管理指数大于80分（含等于）的企业，认定为“卓越绿色供应链管理企业”，优先享受国家各项支持政策。</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（五）部分指标说明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4、节能减排环保合规：符合国家和地方有关环境法律和法规，近五年无重大安全、环保、质量事故；配备能源、水源监测设备及污染物监测设备（计量仪器符合GB/T17167和GB</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24789）。</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9、披露企业节能减排减碳信息：具体包括有毒有害物质使用、能源资源利用效率、污染物排放、碳排放减少量、产品回收利用率等信息。</w:t>
      </w:r>
    </w:p>
    <w:sectPr>
      <w:footerReference r:id="rId5" w:type="first"/>
      <w:footerReference r:id="rId3" w:type="default"/>
      <w:footerReference r:id="rId4" w:type="even"/>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86"/>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07E448C"/>
    <w:rsid w:val="00030C6A"/>
    <w:rsid w:val="00037F0E"/>
    <w:rsid w:val="000D03A1"/>
    <w:rsid w:val="000F7280"/>
    <w:rsid w:val="00113261"/>
    <w:rsid w:val="00113518"/>
    <w:rsid w:val="00147D61"/>
    <w:rsid w:val="00147E3F"/>
    <w:rsid w:val="00153014"/>
    <w:rsid w:val="00163962"/>
    <w:rsid w:val="00176A04"/>
    <w:rsid w:val="00180D33"/>
    <w:rsid w:val="001A036E"/>
    <w:rsid w:val="001A60D3"/>
    <w:rsid w:val="001D0580"/>
    <w:rsid w:val="001D2842"/>
    <w:rsid w:val="00224029"/>
    <w:rsid w:val="002275ED"/>
    <w:rsid w:val="0027695B"/>
    <w:rsid w:val="002940F5"/>
    <w:rsid w:val="002B1EEF"/>
    <w:rsid w:val="002C3C76"/>
    <w:rsid w:val="002C4330"/>
    <w:rsid w:val="00300BEF"/>
    <w:rsid w:val="003078ED"/>
    <w:rsid w:val="00331079"/>
    <w:rsid w:val="00343D7E"/>
    <w:rsid w:val="00373B34"/>
    <w:rsid w:val="003C3F94"/>
    <w:rsid w:val="003C4844"/>
    <w:rsid w:val="003F491B"/>
    <w:rsid w:val="00421F34"/>
    <w:rsid w:val="00453807"/>
    <w:rsid w:val="0046355D"/>
    <w:rsid w:val="00466A49"/>
    <w:rsid w:val="0048283D"/>
    <w:rsid w:val="004D0CA2"/>
    <w:rsid w:val="004E5C03"/>
    <w:rsid w:val="0053294F"/>
    <w:rsid w:val="00541A62"/>
    <w:rsid w:val="00561875"/>
    <w:rsid w:val="0058680B"/>
    <w:rsid w:val="00592F25"/>
    <w:rsid w:val="005C2C09"/>
    <w:rsid w:val="005F0DC6"/>
    <w:rsid w:val="006029EA"/>
    <w:rsid w:val="00635547"/>
    <w:rsid w:val="006633D0"/>
    <w:rsid w:val="00682B2F"/>
    <w:rsid w:val="0068741C"/>
    <w:rsid w:val="006A7992"/>
    <w:rsid w:val="006D5FBE"/>
    <w:rsid w:val="006E71D1"/>
    <w:rsid w:val="00703A97"/>
    <w:rsid w:val="0072051F"/>
    <w:rsid w:val="007520EF"/>
    <w:rsid w:val="0078268F"/>
    <w:rsid w:val="0078759A"/>
    <w:rsid w:val="007C642A"/>
    <w:rsid w:val="007D5B1C"/>
    <w:rsid w:val="007E2727"/>
    <w:rsid w:val="007E3A83"/>
    <w:rsid w:val="007E448C"/>
    <w:rsid w:val="008201FD"/>
    <w:rsid w:val="008217F6"/>
    <w:rsid w:val="00822F06"/>
    <w:rsid w:val="00832E4A"/>
    <w:rsid w:val="008A63A8"/>
    <w:rsid w:val="008C2ADB"/>
    <w:rsid w:val="008D0956"/>
    <w:rsid w:val="0090565C"/>
    <w:rsid w:val="00954567"/>
    <w:rsid w:val="00954CCB"/>
    <w:rsid w:val="00956F36"/>
    <w:rsid w:val="0098726D"/>
    <w:rsid w:val="009A4C1E"/>
    <w:rsid w:val="009A6150"/>
    <w:rsid w:val="009B0056"/>
    <w:rsid w:val="009B35F2"/>
    <w:rsid w:val="009E7275"/>
    <w:rsid w:val="00A079D0"/>
    <w:rsid w:val="00A12D9C"/>
    <w:rsid w:val="00A331E4"/>
    <w:rsid w:val="00A77DAA"/>
    <w:rsid w:val="00A80A0D"/>
    <w:rsid w:val="00A96F11"/>
    <w:rsid w:val="00AA38E5"/>
    <w:rsid w:val="00B0381B"/>
    <w:rsid w:val="00B14A25"/>
    <w:rsid w:val="00B526D9"/>
    <w:rsid w:val="00B70F3E"/>
    <w:rsid w:val="00BE1CBD"/>
    <w:rsid w:val="00C12029"/>
    <w:rsid w:val="00C24B79"/>
    <w:rsid w:val="00C256D1"/>
    <w:rsid w:val="00C473E1"/>
    <w:rsid w:val="00C55F69"/>
    <w:rsid w:val="00C61EDB"/>
    <w:rsid w:val="00C67C1D"/>
    <w:rsid w:val="00C95194"/>
    <w:rsid w:val="00CA2CC8"/>
    <w:rsid w:val="00CC3AF0"/>
    <w:rsid w:val="00D01BE9"/>
    <w:rsid w:val="00D10A48"/>
    <w:rsid w:val="00D16E36"/>
    <w:rsid w:val="00D22581"/>
    <w:rsid w:val="00D25D7A"/>
    <w:rsid w:val="00D727C0"/>
    <w:rsid w:val="00D74F6E"/>
    <w:rsid w:val="00D92E40"/>
    <w:rsid w:val="00DA2D92"/>
    <w:rsid w:val="00DA49A3"/>
    <w:rsid w:val="00DD50FE"/>
    <w:rsid w:val="00E15039"/>
    <w:rsid w:val="00E50338"/>
    <w:rsid w:val="00E7447D"/>
    <w:rsid w:val="00EC4EE2"/>
    <w:rsid w:val="00EE65D7"/>
    <w:rsid w:val="00F011A7"/>
    <w:rsid w:val="00F07179"/>
    <w:rsid w:val="00F25236"/>
    <w:rsid w:val="00F6067A"/>
    <w:rsid w:val="00F95522"/>
    <w:rsid w:val="00FC0924"/>
    <w:rsid w:val="00FE0BF4"/>
    <w:rsid w:val="054A1660"/>
    <w:rsid w:val="06EB4441"/>
    <w:rsid w:val="08B30E10"/>
    <w:rsid w:val="08BA78C3"/>
    <w:rsid w:val="0BE55709"/>
    <w:rsid w:val="2E5DB016"/>
    <w:rsid w:val="393E69AE"/>
    <w:rsid w:val="3CAC3D3C"/>
    <w:rsid w:val="47507EDF"/>
    <w:rsid w:val="5DE673C6"/>
    <w:rsid w:val="602227CA"/>
    <w:rsid w:val="6BC72F84"/>
    <w:rsid w:val="6DC07208"/>
    <w:rsid w:val="72820265"/>
    <w:rsid w:val="7BEFB4D9"/>
    <w:rsid w:val="7C287503"/>
    <w:rsid w:val="7DBD6E37"/>
    <w:rsid w:val="DFDB57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2"/>
    <w:qFormat/>
    <w:uiPriority w:val="0"/>
    <w:rPr>
      <w:b/>
      <w:bCs/>
    </w:rPr>
  </w:style>
  <w:style w:type="paragraph" w:styleId="3">
    <w:name w:val="annotation text"/>
    <w:basedOn w:val="1"/>
    <w:link w:val="1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styleId="9">
    <w:name w:val="annotation reference"/>
    <w:qFormat/>
    <w:uiPriority w:val="0"/>
    <w:rPr>
      <w:sz w:val="21"/>
      <w:szCs w:val="21"/>
    </w:rPr>
  </w:style>
  <w:style w:type="character" w:customStyle="1" w:styleId="11">
    <w:name w:val="批注文字 Char"/>
    <w:link w:val="3"/>
    <w:qFormat/>
    <w:uiPriority w:val="0"/>
    <w:rPr>
      <w:kern w:val="2"/>
      <w:sz w:val="21"/>
      <w:szCs w:val="24"/>
    </w:rPr>
  </w:style>
  <w:style w:type="character" w:customStyle="1" w:styleId="12">
    <w:name w:val="批注主题 Char"/>
    <w:link w:val="2"/>
    <w:qFormat/>
    <w:uiPriority w:val="0"/>
    <w:rPr>
      <w:b/>
      <w:bCs/>
      <w:kern w:val="2"/>
      <w:sz w:val="21"/>
      <w:szCs w:val="24"/>
    </w:rPr>
  </w:style>
  <w:style w:type="character" w:customStyle="1" w:styleId="13">
    <w:name w:val="批注框文本 Char"/>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464</Words>
  <Characters>2650</Characters>
  <Lines>22</Lines>
  <Paragraphs>6</Paragraphs>
  <TotalTime>2</TotalTime>
  <ScaleCrop>false</ScaleCrop>
  <LinksUpToDate>false</LinksUpToDate>
  <CharactersWithSpaces>3108</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2016-06-18T17:43:00Z</dcterms:created>
  <dc:creator>wangxu</dc:creator>
  <cp:lastModifiedBy>耿恩泽</cp:lastModifiedBy>
  <cp:lastPrinted>2023-06-29T22:22:00Z</cp:lastPrinted>
  <dcterms:modified xsi:type="dcterms:W3CDTF">2024-03-29T16:04:16Z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y fmtid="{D5CDD505-2E9C-101B-9397-08002B2CF9AE}" pid="3" name="ICV">
    <vt:lpwstr>16E25A995D3F4F47941F8B5F72ECC9DE_12</vt:lpwstr>
  </property>
</Properties>
</file>