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1" w:lineRule="auto"/>
        <w:ind w:left="44"/>
        <w:outlineLvl w:val="0"/>
        <w:rPr>
          <w:rFonts w:hint="default" w:ascii="Times New Roman" w:hAnsi="Times New Roman" w:eastAsia="宋体" w:cs="Times New Roman"/>
          <w:sz w:val="31"/>
          <w:szCs w:val="31"/>
          <w:lang w:val="en-US" w:eastAsia="zh-CN"/>
        </w:rPr>
      </w:pPr>
      <w:r>
        <w:rPr>
          <w:rFonts w:hint="eastAsia" w:ascii="SimHei" w:hAnsi="SimHei" w:eastAsia="SimHei" w:cs="SimHei"/>
          <w:spacing w:val="-24"/>
          <w:sz w:val="31"/>
          <w:szCs w:val="31"/>
          <w:lang w:eastAsia="zh-CN"/>
        </w:rPr>
        <w:t>附件</w:t>
      </w:r>
      <w:r>
        <w:rPr>
          <w:rFonts w:hint="eastAsia" w:ascii="SimHei" w:hAnsi="SimHei" w:eastAsia="SimHei" w:cs="SimHei"/>
          <w:spacing w:val="-24"/>
          <w:sz w:val="31"/>
          <w:szCs w:val="31"/>
          <w:lang w:val="en-US" w:eastAsia="zh-CN"/>
        </w:rPr>
        <w:t>2-1</w:t>
      </w:r>
    </w:p>
    <w:p>
      <w:pPr>
        <w:spacing w:before="189" w:line="187" w:lineRule="auto"/>
        <w:ind w:left="2029"/>
        <w:outlineLvl w:val="0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pacing w:val="8"/>
          <w:sz w:val="35"/>
          <w:szCs w:val="35"/>
        </w:rPr>
        <w:t>“三新”“一强”推进计划</w:t>
      </w:r>
    </w:p>
    <w:p>
      <w:pPr>
        <w:spacing w:before="205" w:line="371" w:lineRule="auto"/>
        <w:ind w:left="26" w:right="121" w:firstLine="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2"/>
          <w:sz w:val="31"/>
          <w:szCs w:val="31"/>
        </w:rPr>
        <w:t>企业名称：</w:t>
      </w:r>
      <w:r>
        <w:rPr>
          <w:rFonts w:ascii="FangSong" w:hAnsi="FangSong" w:eastAsia="FangSong" w:cs="FangSong"/>
          <w:spacing w:val="-2"/>
          <w:sz w:val="31"/>
          <w:szCs w:val="31"/>
          <w:u w:val="single" w:color="auto"/>
        </w:rPr>
        <w:t xml:space="preserve">                         </w:t>
      </w:r>
      <w:r>
        <w:rPr>
          <w:rFonts w:ascii="FangSong" w:hAnsi="FangSong" w:eastAsia="FangSong" w:cs="FangSong"/>
          <w:spacing w:val="-1"/>
          <w:sz w:val="31"/>
          <w:szCs w:val="31"/>
          <w:u w:val="single" w:color="auto"/>
        </w:rPr>
        <w:t xml:space="preserve">                   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推</w:t>
      </w:r>
      <w:r>
        <w:rPr>
          <w:rFonts w:ascii="FangSong" w:hAnsi="FangSong" w:eastAsia="FangSong" w:cs="FangSong"/>
          <w:spacing w:val="5"/>
          <w:sz w:val="31"/>
          <w:szCs w:val="31"/>
        </w:rPr>
        <w:t>进计划名称：</w:t>
      </w:r>
      <w:r>
        <w:rPr>
          <w:rFonts w:ascii="FangSong" w:hAnsi="FangSong" w:eastAsia="FangSong" w:cs="FangSong"/>
          <w:sz w:val="31"/>
          <w:szCs w:val="31"/>
          <w:u w:val="single" w:color="auto"/>
        </w:rPr>
        <w:t xml:space="preserve">           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560" w:lineRule="exact"/>
        <w:ind w:firstLine="636" w:firstLineChars="200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pacing w:val="-1"/>
          <w:sz w:val="32"/>
          <w:szCs w:val="32"/>
        </w:rPr>
        <w:t>一、背景和必要性 (不超过3000字</w:t>
      </w:r>
      <w:r>
        <w:rPr>
          <w:rFonts w:hint="eastAsia" w:ascii="黑体" w:hAnsi="黑体" w:eastAsia="黑体" w:cs="黑体"/>
          <w:sz w:val="32"/>
          <w:szCs w:val="32"/>
        </w:rPr>
        <w:t>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76" w:firstLineChars="200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介绍本推进计划的需求来源、技术竞争性分析、现有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工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艺技术方案等，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以及实施本推进计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划的必要性。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92" w:firstLineChars="200"/>
        <w:textAlignment w:val="baseline"/>
        <w:outlineLvl w:val="0"/>
        <w:rPr>
          <w:rFonts w:hint="eastAsia" w:ascii="黑体" w:hAnsi="黑体" w:eastAsia="黑体" w:cs="黑体"/>
          <w:spacing w:val="-13"/>
          <w:sz w:val="32"/>
          <w:szCs w:val="32"/>
        </w:rPr>
      </w:pPr>
      <w:r>
        <w:rPr>
          <w:rFonts w:hint="eastAsia" w:ascii="黑体" w:hAnsi="黑体" w:eastAsia="黑体" w:cs="黑体"/>
          <w:spacing w:val="13"/>
          <w:sz w:val="32"/>
          <w:szCs w:val="32"/>
        </w:rPr>
        <w:t>二</w:t>
      </w:r>
      <w:r>
        <w:rPr>
          <w:rFonts w:hint="eastAsia" w:ascii="黑体" w:hAnsi="黑体" w:eastAsia="黑体" w:cs="黑体"/>
          <w:spacing w:val="8"/>
          <w:sz w:val="32"/>
          <w:szCs w:val="32"/>
        </w:rPr>
        <w:t>、拟开展的主要内容、标志性成果和作用意义(不超</w:t>
      </w:r>
      <w:r>
        <w:rPr>
          <w:rFonts w:hint="eastAsia" w:ascii="黑体" w:hAnsi="黑体" w:eastAsia="黑体" w:cs="黑体"/>
          <w:spacing w:val="-19"/>
          <w:sz w:val="32"/>
          <w:szCs w:val="32"/>
        </w:rPr>
        <w:t>过</w:t>
      </w:r>
      <w:r>
        <w:rPr>
          <w:rFonts w:hint="eastAsia" w:ascii="黑体" w:hAnsi="黑体" w:eastAsia="黑体" w:cs="黑体"/>
          <w:spacing w:val="-13"/>
          <w:sz w:val="32"/>
          <w:szCs w:val="32"/>
        </w:rPr>
        <w:t>3000字)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16" w:firstLineChars="200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介绍本推进计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划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拟围绕“三新”“一强”将开展哪些工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作，分别取得哪些标志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性成果，以及取得标志性成果的作用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意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义，可包括但不限于对企业自身发展带来的经济效益，以</w:t>
      </w:r>
      <w:r>
        <w:rPr>
          <w:rFonts w:hint="eastAsia" w:ascii="仿宋_GB2312" w:hAnsi="仿宋_GB2312" w:eastAsia="仿宋_GB2312" w:cs="仿宋_GB2312"/>
          <w:spacing w:val="40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对国民经济稳定性或产业链韧性等方面带来的社会效益</w:t>
      </w:r>
      <w:r>
        <w:rPr>
          <w:rFonts w:hint="eastAsia" w:ascii="仿宋_GB2312" w:hAnsi="仿宋_GB2312" w:eastAsia="仿宋_GB2312" w:cs="仿宋_GB2312"/>
          <w:sz w:val="32"/>
          <w:szCs w:val="32"/>
        </w:rPr>
        <w:t>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32" w:firstLineChars="200"/>
        <w:textAlignment w:val="baseline"/>
        <w:outlineLvl w:val="0"/>
        <w:rPr>
          <w:rFonts w:hint="eastAsia" w:ascii="黑体" w:hAnsi="黑体" w:eastAsia="黑体" w:cs="黑体"/>
          <w:spacing w:val="-1"/>
          <w:sz w:val="32"/>
          <w:szCs w:val="32"/>
        </w:rPr>
      </w:pPr>
      <w:r>
        <w:rPr>
          <w:rFonts w:hint="eastAsia" w:ascii="黑体" w:hAnsi="黑体" w:eastAsia="黑体" w:cs="黑体"/>
          <w:spacing w:val="-2"/>
          <w:sz w:val="32"/>
          <w:szCs w:val="32"/>
        </w:rPr>
        <w:t>三、可行性分析(不</w:t>
      </w:r>
      <w:r>
        <w:rPr>
          <w:rFonts w:hint="eastAsia" w:ascii="黑体" w:hAnsi="黑体" w:eastAsia="黑体" w:cs="黑体"/>
          <w:spacing w:val="-1"/>
          <w:sz w:val="32"/>
          <w:szCs w:val="32"/>
        </w:rPr>
        <w:t>超过3000字)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792" w:firstLineChars="200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8"/>
          <w:sz w:val="32"/>
          <w:szCs w:val="32"/>
        </w:rPr>
        <w:t>介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绍本企业实施推进计划的优势和可能面临的困难问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题，以及解决困难问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题的考虑和举措，分析完成推进计划的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可行性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44" w:firstLineChars="200"/>
        <w:textAlignment w:val="baseline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1"/>
          <w:sz w:val="32"/>
          <w:szCs w:val="32"/>
        </w:rPr>
        <w:t>四、投资情</w:t>
      </w:r>
      <w:r>
        <w:rPr>
          <w:rFonts w:hint="eastAsia" w:ascii="黑体" w:hAnsi="黑体" w:eastAsia="黑体" w:cs="黑体"/>
          <w:sz w:val="32"/>
          <w:szCs w:val="32"/>
        </w:rPr>
        <w:t>况、年度安排和绩效目标(不超过3000字)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792" w:firstLineChars="200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8"/>
          <w:sz w:val="32"/>
          <w:szCs w:val="32"/>
        </w:rPr>
        <w:t>介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绍本企业实施推进计划的拟投资总额，包含资金来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源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主要投资方向和资金分配计划等。介绍分年度实施推进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划的安排和绩效目标，分年度绩效目标应可量化可考核，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包含所有标志性成果。</w:t>
      </w:r>
    </w:p>
    <w:sectPr>
      <w:pgSz w:w="11906" w:h="16839"/>
      <w:pgMar w:top="1431" w:right="1785" w:bottom="1217" w:left="1785" w:header="0" w:footer="99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Light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CBF5863"/>
    <w:rsid w:val="4FFF80EA"/>
    <w:rsid w:val="5C7B2C48"/>
    <w:rsid w:val="7B7F06BD"/>
    <w:rsid w:val="7DEE37BE"/>
    <w:rsid w:val="7E658675"/>
    <w:rsid w:val="7FBD480B"/>
    <w:rsid w:val="C57FCBC7"/>
    <w:rsid w:val="FBFA07AD"/>
    <w:rsid w:val="FED974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ScaleCrop>false</ScaleCrop>
  <LinksUpToDate>false</LinksUpToDate>
  <Application>WPS Office_11.8.2.10125_F1E327BC-269C-435d-A152-05C5408002CA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2024-06-19T01:39:00Z</dcterms:created>
  <dc:creator>ABC</dc:creator>
  <cp:lastModifiedBy>greatwall</cp:lastModifiedBy>
  <dcterms:modified xsi:type="dcterms:W3CDTF">2024-06-21T15:22:13Z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2024-06-21T09:59:57Z</vt:filetime>
  </property>
  <property fmtid="{D5CDD505-2E9C-101B-9397-08002B2CF9AE}" pid="4" name="KSOProductBuildVer">
    <vt:lpwstr>2052-11.8.2.10125</vt:lpwstr>
  </property>
</Properties>
</file>